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08" w:rsidRPr="00771D58" w:rsidRDefault="00D03308" w:rsidP="00D033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1D5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ИРКУТСКАЯ ОБЛАСТЬ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УСТЬ-УДИНСКИЙ РАЙОН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АДМИНИСТРАЦИЯ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НОВОУДИНСКОГО МУНИЦИПАЛЬНОГО ОБРАЗОВАНИЯ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ГЛАВА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ПОСТАНОВЛЕНИЕ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21.12.2016г.  № 47</w:t>
      </w:r>
    </w:p>
    <w:p w:rsidR="00D03308" w:rsidRPr="00771D58" w:rsidRDefault="00D03308" w:rsidP="00D03308">
      <w:pPr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ind w:right="3683"/>
        <w:jc w:val="both"/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«Переселение граждан из ветхого и аварийного жилищного фонда в </w:t>
      </w:r>
      <w:proofErr w:type="spellStart"/>
      <w:r w:rsidRPr="00771D58">
        <w:rPr>
          <w:rFonts w:ascii="Times New Roman" w:hAnsi="Times New Roman" w:cs="Times New Roman"/>
          <w:sz w:val="26"/>
          <w:szCs w:val="26"/>
        </w:rPr>
        <w:t>Новоудинском</w:t>
      </w:r>
      <w:proofErr w:type="spellEnd"/>
      <w:r w:rsidRPr="00771D58">
        <w:rPr>
          <w:rFonts w:ascii="Times New Roman" w:hAnsi="Times New Roman" w:cs="Times New Roman"/>
          <w:sz w:val="26"/>
          <w:szCs w:val="26"/>
        </w:rPr>
        <w:t xml:space="preserve"> муниципальном образовании» на период 2014-2020 годы</w:t>
      </w:r>
    </w:p>
    <w:p w:rsidR="00D03308" w:rsidRPr="00771D58" w:rsidRDefault="00D03308" w:rsidP="00D03308">
      <w:pPr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D58">
        <w:rPr>
          <w:rFonts w:ascii="Times New Roman" w:hAnsi="Times New Roman" w:cs="Times New Roman"/>
          <w:sz w:val="26"/>
          <w:szCs w:val="26"/>
        </w:rPr>
        <w:t>В целях обеспечения жильем граждан, проживающих в жилых помещениях, признанных аварийными и ликвидации жилых домов, признанных непригодными для проживания, в соответствии со статьей 179 Бюджетного кодекса Российской Федерации, с подпрограммой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</w:r>
      <w:r w:rsidRPr="00771D58">
        <w:rPr>
          <w:rFonts w:ascii="Times New Roman" w:hAnsi="Times New Roman" w:cs="Times New Roman"/>
          <w:spacing w:val="3"/>
          <w:sz w:val="26"/>
          <w:szCs w:val="26"/>
        </w:rPr>
        <w:t>, утвержденной постановлением Правительства Иркутской области от 24 октября</w:t>
      </w:r>
      <w:proofErr w:type="gramEnd"/>
      <w:r w:rsidRPr="00771D58">
        <w:rPr>
          <w:rFonts w:ascii="Times New Roman" w:hAnsi="Times New Roman" w:cs="Times New Roman"/>
          <w:spacing w:val="3"/>
          <w:sz w:val="26"/>
          <w:szCs w:val="26"/>
        </w:rPr>
        <w:t xml:space="preserve"> 2013 года № 443-пп</w:t>
      </w:r>
      <w:r w:rsidRPr="00771D58">
        <w:rPr>
          <w:rFonts w:ascii="Times New Roman" w:hAnsi="Times New Roman" w:cs="Times New Roman"/>
          <w:sz w:val="26"/>
          <w:szCs w:val="26"/>
        </w:rPr>
        <w:t xml:space="preserve"> (в редакции постановления Правительства Иркутской области от 23.10.2015 № 530-пп), руководствуясь Федеральным законом № 131-ФЗ «Об общих принципах организации местного самоуправления в Российской Федерации», п. 6 ч. 1 ст.6 Устава </w:t>
      </w:r>
      <w:proofErr w:type="spellStart"/>
      <w:r w:rsidRPr="00771D58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 w:rsidRPr="00771D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D03308" w:rsidRPr="00771D58" w:rsidRDefault="00D03308" w:rsidP="00D033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03308" w:rsidRPr="00771D58" w:rsidRDefault="00D03308" w:rsidP="00D0330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771D58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Pr="00771D58">
        <w:rPr>
          <w:rFonts w:ascii="Times New Roman" w:hAnsi="Times New Roman" w:cs="Times New Roman"/>
          <w:sz w:val="26"/>
          <w:szCs w:val="26"/>
        </w:rPr>
        <w:t xml:space="preserve">«Переселение граждан из ветхого и аварийного жилищного фонда в </w:t>
      </w:r>
      <w:proofErr w:type="spellStart"/>
      <w:r w:rsidRPr="00771D58">
        <w:rPr>
          <w:rFonts w:ascii="Times New Roman" w:hAnsi="Times New Roman" w:cs="Times New Roman"/>
          <w:sz w:val="26"/>
          <w:szCs w:val="26"/>
        </w:rPr>
        <w:t>Новоудинском</w:t>
      </w:r>
      <w:proofErr w:type="spellEnd"/>
      <w:r w:rsidRPr="00771D58">
        <w:rPr>
          <w:rFonts w:ascii="Times New Roman" w:hAnsi="Times New Roman" w:cs="Times New Roman"/>
          <w:sz w:val="26"/>
          <w:szCs w:val="26"/>
        </w:rPr>
        <w:t xml:space="preserve"> муниципальном образовании» на период 2014-2020 годы </w:t>
      </w:r>
      <w:r w:rsidRPr="00771D58">
        <w:rPr>
          <w:rFonts w:ascii="Times New Roman" w:hAnsi="Times New Roman" w:cs="Times New Roman"/>
          <w:bCs/>
          <w:sz w:val="26"/>
          <w:szCs w:val="26"/>
        </w:rPr>
        <w:t>(читать в новой редакции).</w:t>
      </w:r>
    </w:p>
    <w:p w:rsidR="00D03308" w:rsidRPr="00771D58" w:rsidRDefault="00D03308" w:rsidP="00D03308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aps/>
          <w:sz w:val="26"/>
          <w:szCs w:val="26"/>
        </w:rPr>
      </w:pPr>
      <w:bookmarkStart w:id="0" w:name="sub_6"/>
      <w:r w:rsidRPr="00771D58">
        <w:rPr>
          <w:rFonts w:ascii="Times New Roman" w:hAnsi="Times New Roman" w:cs="Times New Roman"/>
          <w:sz w:val="26"/>
          <w:szCs w:val="26"/>
        </w:rPr>
        <w:t>Данное постановление опубликовать в информационном источнике «</w:t>
      </w:r>
      <w:proofErr w:type="spellStart"/>
      <w:r w:rsidRPr="00771D58">
        <w:rPr>
          <w:rFonts w:ascii="Times New Roman" w:hAnsi="Times New Roman" w:cs="Times New Roman"/>
          <w:sz w:val="26"/>
          <w:szCs w:val="26"/>
        </w:rPr>
        <w:t>Новоудинские</w:t>
      </w:r>
      <w:proofErr w:type="spellEnd"/>
      <w:r w:rsidRPr="00771D58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администрации </w:t>
      </w:r>
      <w:r w:rsidRPr="00771D58">
        <w:rPr>
          <w:rFonts w:ascii="Times New Roman" w:hAnsi="Times New Roman" w:cs="Times New Roman"/>
          <w:sz w:val="26"/>
          <w:szCs w:val="26"/>
        </w:rPr>
        <w:br/>
        <w:t>«</w:t>
      </w:r>
      <w:proofErr w:type="spellStart"/>
      <w:r w:rsidRPr="00771D58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771D58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D03308" w:rsidRPr="00771D58" w:rsidRDefault="00D03308" w:rsidP="00D03308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71D5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bookmarkEnd w:id="0"/>
    </w:p>
    <w:p w:rsidR="00D03308" w:rsidRPr="00771D58" w:rsidRDefault="00D03308" w:rsidP="00D03308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caps/>
          <w:sz w:val="26"/>
          <w:szCs w:val="26"/>
        </w:rPr>
      </w:pPr>
      <w:proofErr w:type="gramStart"/>
      <w:r w:rsidRPr="00771D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1D5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3308" w:rsidRPr="00771D58" w:rsidRDefault="00D03308" w:rsidP="00D0330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308" w:rsidRPr="00771D58" w:rsidRDefault="00D03308" w:rsidP="00D03308">
      <w:pPr>
        <w:tabs>
          <w:tab w:val="left" w:pos="2010"/>
          <w:tab w:val="center" w:pos="4960"/>
          <w:tab w:val="left" w:pos="793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jc w:val="left"/>
        <w:rPr>
          <w:b w:val="0"/>
          <w:sz w:val="26"/>
          <w:szCs w:val="26"/>
        </w:rPr>
      </w:pPr>
      <w:r w:rsidRPr="00771D58">
        <w:rPr>
          <w:b w:val="0"/>
          <w:sz w:val="26"/>
          <w:szCs w:val="26"/>
        </w:rPr>
        <w:t xml:space="preserve">Глава </w:t>
      </w:r>
      <w:proofErr w:type="spellStart"/>
      <w:r w:rsidRPr="00771D58">
        <w:rPr>
          <w:b w:val="0"/>
          <w:sz w:val="26"/>
          <w:szCs w:val="26"/>
        </w:rPr>
        <w:t>Новоудинского</w:t>
      </w:r>
      <w:proofErr w:type="spellEnd"/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jc w:val="left"/>
        <w:rPr>
          <w:b w:val="0"/>
          <w:sz w:val="26"/>
          <w:szCs w:val="26"/>
        </w:rPr>
      </w:pPr>
      <w:r w:rsidRPr="00771D58">
        <w:rPr>
          <w:b w:val="0"/>
          <w:sz w:val="26"/>
          <w:szCs w:val="26"/>
        </w:rPr>
        <w:t xml:space="preserve"> муниципального образования           </w:t>
      </w:r>
      <w:r>
        <w:rPr>
          <w:b w:val="0"/>
          <w:sz w:val="26"/>
          <w:szCs w:val="26"/>
        </w:rPr>
        <w:t xml:space="preserve">                                             </w:t>
      </w:r>
      <w:r w:rsidRPr="00771D58">
        <w:rPr>
          <w:b w:val="0"/>
          <w:sz w:val="26"/>
          <w:szCs w:val="26"/>
        </w:rPr>
        <w:t xml:space="preserve">        Г.А. </w:t>
      </w:r>
      <w:proofErr w:type="spellStart"/>
      <w:r w:rsidRPr="00771D58">
        <w:rPr>
          <w:b w:val="0"/>
          <w:sz w:val="26"/>
          <w:szCs w:val="26"/>
        </w:rPr>
        <w:t>Бакляк</w:t>
      </w:r>
      <w:proofErr w:type="spellEnd"/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b w:val="0"/>
          <w:sz w:val="26"/>
          <w:szCs w:val="26"/>
        </w:rPr>
      </w:pPr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b w:val="0"/>
          <w:sz w:val="26"/>
          <w:szCs w:val="26"/>
        </w:rPr>
      </w:pPr>
      <w:r w:rsidRPr="00771D58">
        <w:rPr>
          <w:b w:val="0"/>
          <w:sz w:val="26"/>
          <w:szCs w:val="26"/>
        </w:rPr>
        <w:br w:type="page"/>
      </w:r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Pr="00771D58" w:rsidRDefault="00D03308" w:rsidP="00D03308">
      <w:pPr>
        <w:pStyle w:val="50"/>
        <w:shd w:val="clear" w:color="auto" w:fill="auto"/>
        <w:spacing w:before="0" w:after="0" w:line="240" w:lineRule="auto"/>
        <w:ind w:right="180"/>
        <w:rPr>
          <w:sz w:val="26"/>
          <w:szCs w:val="26"/>
        </w:rPr>
      </w:pPr>
    </w:p>
    <w:p w:rsidR="00D03308" w:rsidRDefault="00D03308" w:rsidP="00D03308">
      <w:pPr>
        <w:pStyle w:val="50"/>
        <w:shd w:val="clear" w:color="auto" w:fill="auto"/>
        <w:spacing w:before="0" w:after="628" w:line="320" w:lineRule="exact"/>
        <w:ind w:right="180"/>
      </w:pPr>
      <w:r>
        <w:t>Муниципальная программа</w:t>
      </w: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  <w:r>
        <w:t>«Переселение граждан из ветхого и аварийного жилищного</w:t>
      </w:r>
      <w:r>
        <w:br/>
        <w:t xml:space="preserve">фонда в </w:t>
      </w:r>
      <w:proofErr w:type="spellStart"/>
      <w:r w:rsidRPr="00DD03B2">
        <w:rPr>
          <w:sz w:val="28"/>
          <w:szCs w:val="28"/>
        </w:rPr>
        <w:t>Новоудинском</w:t>
      </w:r>
      <w:proofErr w:type="spellEnd"/>
      <w:r>
        <w:t xml:space="preserve"> муниципальном образовании»</w:t>
      </w: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  <w:r>
        <w:t>на 2014-2020 годы</w:t>
      </w: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  <w:rPr>
          <w:rStyle w:val="2"/>
          <w:b w:val="0"/>
          <w:bCs w:val="0"/>
        </w:rPr>
      </w:pPr>
      <w:r>
        <w:br/>
      </w:r>
      <w:proofErr w:type="gramStart"/>
      <w:r>
        <w:rPr>
          <w:rStyle w:val="2"/>
          <w:b w:val="0"/>
          <w:bCs w:val="0"/>
        </w:rPr>
        <w:t>с. Новая Уда</w:t>
      </w:r>
      <w:proofErr w:type="gramEnd"/>
    </w:p>
    <w:p w:rsidR="00D03308" w:rsidRDefault="00D03308" w:rsidP="00D03308">
      <w:pPr>
        <w:rPr>
          <w:rStyle w:val="2"/>
          <w:rFonts w:eastAsia="Arial Unicode MS"/>
        </w:rPr>
      </w:pPr>
      <w:r>
        <w:rPr>
          <w:rStyle w:val="2"/>
          <w:rFonts w:eastAsia="Arial Unicode MS"/>
          <w:b/>
          <w:bCs/>
        </w:rPr>
        <w:br w:type="page"/>
      </w:r>
    </w:p>
    <w:p w:rsidR="00D03308" w:rsidRDefault="00D03308" w:rsidP="00D03308">
      <w:pPr>
        <w:pStyle w:val="50"/>
        <w:shd w:val="clear" w:color="auto" w:fill="auto"/>
        <w:spacing w:before="0" w:after="0" w:line="619" w:lineRule="exact"/>
        <w:ind w:right="180"/>
      </w:pPr>
    </w:p>
    <w:p w:rsidR="00D03308" w:rsidRDefault="00D03308" w:rsidP="00D03308">
      <w:pPr>
        <w:pStyle w:val="20"/>
        <w:shd w:val="clear" w:color="auto" w:fill="auto"/>
        <w:spacing w:after="120" w:line="240" w:lineRule="auto"/>
        <w:ind w:firstLine="0"/>
        <w:jc w:val="center"/>
      </w:pPr>
      <w:r>
        <w:t>ПАСПОРТ</w:t>
      </w:r>
    </w:p>
    <w:p w:rsidR="00D03308" w:rsidRDefault="00D03308" w:rsidP="00D03308">
      <w:pPr>
        <w:pStyle w:val="20"/>
        <w:shd w:val="clear" w:color="auto" w:fill="auto"/>
        <w:spacing w:after="120" w:line="240" w:lineRule="auto"/>
        <w:ind w:right="75" w:firstLine="0"/>
        <w:jc w:val="center"/>
      </w:pPr>
      <w:r>
        <w:t>МУНИЦИПАЛЬНОЙ ПРОГРАММЫ</w:t>
      </w:r>
    </w:p>
    <w:p w:rsidR="00D03308" w:rsidRDefault="00D03308" w:rsidP="00D03308">
      <w:pPr>
        <w:pStyle w:val="20"/>
        <w:shd w:val="clear" w:color="auto" w:fill="auto"/>
        <w:spacing w:after="120" w:line="240" w:lineRule="auto"/>
        <w:ind w:right="358" w:firstLine="0"/>
        <w:jc w:val="center"/>
      </w:pPr>
      <w:r>
        <w:t xml:space="preserve">«ПЕРЕСЕЛЕНИЕ ГРАЖДАН ИЗ ВЕТХОГО И АВАРИЙНОГО ЖИЛИЩНОГО ФОНДА НОВОУДИНСКОМ МУНИЦИПАЛЬНОМ </w:t>
      </w:r>
      <w:proofErr w:type="gramStart"/>
      <w:r>
        <w:t>ОБРАЗОВАНИИ</w:t>
      </w:r>
      <w:proofErr w:type="gramEnd"/>
      <w:r>
        <w:t>» НА 2014 - 2020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«Переселение граждан из ветхого и аварийного жилищного фонда </w:t>
            </w:r>
            <w:proofErr w:type="spellStart"/>
            <w:r w:rsidRPr="003A3B55">
              <w:rPr>
                <w:rFonts w:ascii="Times New Roman" w:hAnsi="Times New Roman" w:cs="Times New Roman"/>
                <w:sz w:val="28"/>
                <w:szCs w:val="28"/>
              </w:rPr>
              <w:t>Новоудинском</w:t>
            </w:r>
            <w:proofErr w:type="spellEnd"/>
            <w:r w:rsidRPr="003A3B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proofErr w:type="gramStart"/>
            <w:r w:rsidRPr="003A3B55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2014-2020 годы (далее – Программа)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(далее – Администрация)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(далее – Администрация)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фонда, признанного таковым до 1 января 2012 года</w:t>
            </w:r>
          </w:p>
        </w:tc>
      </w:tr>
      <w:tr w:rsidR="00D03308" w:rsidRPr="007503EA" w:rsidTr="002C4BB0">
        <w:trPr>
          <w:trHeight w:val="1109"/>
        </w:trPr>
        <w:tc>
          <w:tcPr>
            <w:tcW w:w="3369" w:type="dxa"/>
            <w:vAlign w:val="center"/>
          </w:tcPr>
          <w:p w:rsidR="00D03308" w:rsidRPr="00AA501C" w:rsidRDefault="00D03308" w:rsidP="002C4BB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E9638F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E9638F">
              <w:rPr>
                <w:szCs w:val="28"/>
              </w:rPr>
              <w:t xml:space="preserve">1. </w:t>
            </w:r>
            <w:r w:rsidRPr="00146D47">
              <w:rPr>
                <w:szCs w:val="28"/>
              </w:rPr>
              <w:t>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</w:t>
            </w:r>
            <w:r w:rsidRPr="00E9638F">
              <w:rPr>
                <w:szCs w:val="28"/>
              </w:rPr>
              <w:t xml:space="preserve"> в ходе реализации </w:t>
            </w:r>
            <w:r>
              <w:rPr>
                <w:szCs w:val="28"/>
              </w:rPr>
              <w:t>П</w:t>
            </w:r>
            <w:r w:rsidRPr="00E9638F">
              <w:rPr>
                <w:szCs w:val="28"/>
              </w:rPr>
              <w:t>рограммы.</w:t>
            </w:r>
          </w:p>
          <w:p w:rsidR="00D03308" w:rsidRPr="00E9638F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E9638F">
              <w:rPr>
                <w:szCs w:val="28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D03308" w:rsidRPr="00AA501C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E9638F">
              <w:rPr>
                <w:szCs w:val="28"/>
              </w:rPr>
              <w:t>3. Площадь снесенного непригодного для проживания жилищного фонда.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78" w:type="dxa"/>
            <w:vAlign w:val="center"/>
          </w:tcPr>
          <w:p w:rsidR="00D03308" w:rsidRPr="00AA501C" w:rsidRDefault="00D03308" w:rsidP="002C4BB0">
            <w:pPr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C011CD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Cs w:val="28"/>
              </w:rPr>
              <w:t>214 766,840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уб., из  них :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предполагаемые  средства  областного  бюджета  -  </w:t>
            </w:r>
            <w:r>
              <w:rPr>
                <w:szCs w:val="28"/>
              </w:rPr>
              <w:br/>
              <w:t>204 372,6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  <w:r>
              <w:rPr>
                <w:szCs w:val="28"/>
              </w:rPr>
              <w:t xml:space="preserve">, </w:t>
            </w:r>
            <w:r w:rsidRPr="00DD03B2">
              <w:rPr>
                <w:szCs w:val="28"/>
              </w:rPr>
              <w:t xml:space="preserve"> в  том  числе  по  годам :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2014  год  -  </w:t>
            </w:r>
            <w:r>
              <w:rPr>
                <w:szCs w:val="28"/>
              </w:rPr>
              <w:t>2 112</w:t>
            </w:r>
            <w:r w:rsidRPr="00DD03B2">
              <w:rPr>
                <w:szCs w:val="28"/>
              </w:rPr>
              <w:t>,00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2015  год  -  </w:t>
            </w:r>
            <w:r>
              <w:rPr>
                <w:szCs w:val="28"/>
              </w:rPr>
              <w:t>6 161,70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2016  год  -  </w:t>
            </w:r>
            <w:r>
              <w:rPr>
                <w:szCs w:val="28"/>
              </w:rPr>
              <w:t xml:space="preserve">5 318,20 </w:t>
            </w:r>
            <w:r w:rsidRPr="00DD03B2">
              <w:rPr>
                <w:szCs w:val="28"/>
              </w:rPr>
              <w:t>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lastRenderedPageBreak/>
              <w:t xml:space="preserve"> 2017  год  - </w:t>
            </w:r>
            <w:r>
              <w:rPr>
                <w:szCs w:val="28"/>
              </w:rPr>
              <w:t xml:space="preserve">         </w:t>
            </w:r>
            <w:r w:rsidRPr="00DD03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0,00 </w:t>
            </w:r>
            <w:r w:rsidRPr="00DD03B2">
              <w:rPr>
                <w:szCs w:val="28"/>
              </w:rPr>
              <w:t>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2018  год  -  </w:t>
            </w:r>
            <w:r>
              <w:rPr>
                <w:szCs w:val="28"/>
              </w:rPr>
              <w:t>63 593,50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2019  год  -  </w:t>
            </w:r>
            <w:r>
              <w:rPr>
                <w:szCs w:val="28"/>
              </w:rPr>
              <w:t>63 593,60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Default="00D03308" w:rsidP="002C4B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2020  год  -  63 593,60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D03308" w:rsidRPr="00C011CD" w:rsidRDefault="00D03308" w:rsidP="002C4BB0">
            <w:pPr>
              <w:pStyle w:val="ConsPlusNormal"/>
              <w:jc w:val="both"/>
              <w:rPr>
                <w:szCs w:val="28"/>
              </w:rPr>
            </w:pP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предполагаемые средства  местного  бюджета  -  1</w:t>
            </w:r>
            <w:r>
              <w:rPr>
                <w:szCs w:val="28"/>
              </w:rPr>
              <w:t>0 394,240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  <w:r>
              <w:rPr>
                <w:szCs w:val="28"/>
              </w:rPr>
              <w:t xml:space="preserve">, </w:t>
            </w:r>
            <w:r w:rsidRPr="00DD03B2">
              <w:rPr>
                <w:szCs w:val="28"/>
              </w:rPr>
              <w:t xml:space="preserve"> в том числе по годам :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2014  год  -  </w:t>
            </w:r>
            <w:r>
              <w:rPr>
                <w:szCs w:val="28"/>
              </w:rPr>
              <w:t xml:space="preserve">   111,31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2015  год  - </w:t>
            </w:r>
            <w:r>
              <w:rPr>
                <w:szCs w:val="28"/>
              </w:rPr>
              <w:t xml:space="preserve">   </w:t>
            </w:r>
            <w:r w:rsidRPr="00DD03B2">
              <w:rPr>
                <w:szCs w:val="28"/>
              </w:rPr>
              <w:t xml:space="preserve"> </w:t>
            </w:r>
            <w:r>
              <w:rPr>
                <w:szCs w:val="28"/>
              </w:rPr>
              <w:t>190,62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2016  год  - </w:t>
            </w:r>
            <w:r>
              <w:rPr>
                <w:szCs w:val="28"/>
              </w:rPr>
              <w:t xml:space="preserve">     </w:t>
            </w:r>
            <w:r w:rsidRPr="00DD03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53,80 </w:t>
            </w:r>
            <w:r w:rsidRPr="00DD03B2">
              <w:rPr>
                <w:szCs w:val="28"/>
              </w:rPr>
              <w:t>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2017  год  -  </w:t>
            </w:r>
            <w:r>
              <w:rPr>
                <w:szCs w:val="28"/>
              </w:rPr>
              <w:t xml:space="preserve">       0,00 </w:t>
            </w:r>
            <w:r w:rsidRPr="00DD03B2">
              <w:rPr>
                <w:szCs w:val="28"/>
              </w:rPr>
              <w:t>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2018  год  -  </w:t>
            </w:r>
            <w:r>
              <w:rPr>
                <w:szCs w:val="28"/>
              </w:rPr>
              <w:t xml:space="preserve">   3 346,17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 xml:space="preserve"> 2019  год  -  </w:t>
            </w:r>
            <w:r>
              <w:rPr>
                <w:szCs w:val="28"/>
              </w:rPr>
              <w:t xml:space="preserve">   3 346,17</w:t>
            </w:r>
            <w:r w:rsidRPr="00DD03B2">
              <w:rPr>
                <w:szCs w:val="28"/>
              </w:rPr>
              <w:t xml:space="preserve"> тыс</w:t>
            </w:r>
            <w:proofErr w:type="gramStart"/>
            <w:r w:rsidRPr="00DD03B2">
              <w:rPr>
                <w:szCs w:val="28"/>
              </w:rPr>
              <w:t>.р</w:t>
            </w:r>
            <w:proofErr w:type="gramEnd"/>
            <w:r w:rsidRPr="00DD03B2">
              <w:rPr>
                <w:szCs w:val="28"/>
              </w:rPr>
              <w:t>уб.</w:t>
            </w:r>
          </w:p>
          <w:p w:rsidR="00D03308" w:rsidRPr="00DD03B2" w:rsidRDefault="00D03308" w:rsidP="002C4BB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2020  год  -     3 346,17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D03308" w:rsidRPr="00AA501C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DD03B2">
              <w:rPr>
                <w:szCs w:val="28"/>
              </w:rPr>
              <w:t>Финансирование Программы ежегодно уточняются при формировании областного бюджета</w:t>
            </w:r>
            <w:r>
              <w:rPr>
                <w:szCs w:val="28"/>
              </w:rPr>
              <w:t xml:space="preserve"> и местного бюджета</w:t>
            </w:r>
            <w:r w:rsidRPr="00DD03B2">
              <w:rPr>
                <w:szCs w:val="28"/>
              </w:rPr>
              <w:t xml:space="preserve"> на соответствующий финансовый год исходя из возможностей областного бюджета</w:t>
            </w:r>
            <w:r>
              <w:rPr>
                <w:szCs w:val="28"/>
              </w:rPr>
              <w:t xml:space="preserve"> и местного бюджета</w:t>
            </w:r>
            <w:r w:rsidRPr="00DD03B2">
              <w:rPr>
                <w:szCs w:val="28"/>
              </w:rPr>
              <w:t xml:space="preserve"> и затрат, необходимых</w:t>
            </w:r>
            <w:r>
              <w:rPr>
                <w:szCs w:val="28"/>
              </w:rPr>
              <w:t xml:space="preserve"> </w:t>
            </w:r>
            <w:r w:rsidRPr="00DD03B2">
              <w:rPr>
                <w:szCs w:val="28"/>
              </w:rPr>
              <w:t>для реализации</w:t>
            </w:r>
            <w:r>
              <w:rPr>
                <w:szCs w:val="28"/>
              </w:rPr>
              <w:t xml:space="preserve"> </w:t>
            </w:r>
            <w:r w:rsidRPr="00DD03B2">
              <w:rPr>
                <w:szCs w:val="28"/>
              </w:rPr>
              <w:t>Программы.</w:t>
            </w:r>
          </w:p>
        </w:tc>
      </w:tr>
      <w:tr w:rsidR="00D03308" w:rsidRPr="007503EA" w:rsidTr="002C4BB0">
        <w:tc>
          <w:tcPr>
            <w:tcW w:w="3369" w:type="dxa"/>
            <w:vAlign w:val="center"/>
          </w:tcPr>
          <w:p w:rsidR="00D03308" w:rsidRPr="00AA501C" w:rsidRDefault="00D03308" w:rsidP="002C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01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D03308" w:rsidRPr="00146D47" w:rsidRDefault="00D03308" w:rsidP="002C4BB0">
            <w:pPr>
              <w:pStyle w:val="ConsPlusNormal"/>
              <w:jc w:val="both"/>
            </w:pPr>
            <w:r w:rsidRPr="00146D47">
              <w:t>1. Доля семей, переселенных из ветхого и аварийного жилья, в общем количестве семей, нуждающихся</w:t>
            </w:r>
            <w:r>
              <w:t xml:space="preserve"> в переселении, - 100% (219</w:t>
            </w:r>
            <w:r w:rsidRPr="00146D47">
              <w:t>).</w:t>
            </w:r>
          </w:p>
          <w:p w:rsidR="00D03308" w:rsidRPr="00146D47" w:rsidRDefault="00D03308" w:rsidP="002C4BB0">
            <w:pPr>
              <w:pStyle w:val="ConsPlusNormal"/>
              <w:jc w:val="both"/>
            </w:pPr>
            <w:r w:rsidRPr="00146D47">
              <w:t>2.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</w:t>
            </w:r>
            <w:r>
              <w:t>змещения,  10 038</w:t>
            </w:r>
            <w:r w:rsidRPr="00146D47">
              <w:t xml:space="preserve"> кв.м.</w:t>
            </w:r>
          </w:p>
          <w:p w:rsidR="00D03308" w:rsidRPr="00AA501C" w:rsidRDefault="00D03308" w:rsidP="002C4BB0">
            <w:pPr>
              <w:pStyle w:val="ConsPlusNormal"/>
              <w:jc w:val="both"/>
              <w:rPr>
                <w:szCs w:val="28"/>
              </w:rPr>
            </w:pPr>
            <w:r w:rsidRPr="00146D47">
              <w:t xml:space="preserve">3. </w:t>
            </w:r>
            <w:proofErr w:type="gramStart"/>
            <w:r w:rsidRPr="00146D47">
              <w:t>Площадь снесенного непригодного для</w:t>
            </w:r>
            <w:r>
              <w:t xml:space="preserve"> проживания жилищного фонда  10 038</w:t>
            </w:r>
            <w:r w:rsidRPr="00146D47">
              <w:t xml:space="preserve"> кв.м</w:t>
            </w:r>
            <w:r>
              <w:t xml:space="preserve">. </w:t>
            </w:r>
            <w:r w:rsidRPr="005D3EBB">
              <w:rPr>
                <w:sz w:val="24"/>
                <w:szCs w:val="24"/>
              </w:rPr>
              <w:t>(</w:t>
            </w:r>
            <w:proofErr w:type="gramEnd"/>
          </w:p>
        </w:tc>
      </w:tr>
    </w:tbl>
    <w:p w:rsidR="00D03308" w:rsidRDefault="00D03308" w:rsidP="00D03308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3308" w:rsidRPr="003A3B55" w:rsidRDefault="00D03308" w:rsidP="00D03308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данным формы № 1 - жилфонд </w:t>
      </w:r>
      <w:proofErr w:type="spellStart"/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Новоудинского</w:t>
      </w:r>
      <w:proofErr w:type="spellEnd"/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 на 01.01.2012 года сосредоточено </w:t>
      </w:r>
      <w:smartTag w:uri="urn:schemas-microsoft-com:office:smarttags" w:element="metricconverter">
        <w:smartTagPr>
          <w:attr w:name="ProductID" w:val="28 200 кв. метров"/>
        </w:smartTagPr>
        <w:r w:rsidRPr="003A3B5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28 200 кв. метров</w:t>
        </w:r>
      </w:smartTag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жилищного фонда, из которого аварийным является – </w:t>
      </w:r>
      <w:smartTag w:uri="urn:schemas-microsoft-com:office:smarttags" w:element="metricconverter">
        <w:smartTagPr>
          <w:attr w:name="ProductID" w:val="3 282 кв. м"/>
        </w:smartTagPr>
        <w:r w:rsidRPr="003A3B5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3 282 кв. м</w:t>
        </w:r>
      </w:smartTag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и ветхим – 6 756 кв.м. </w:t>
      </w: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D03308" w:rsidRPr="003A3B55" w:rsidRDefault="00D03308" w:rsidP="00D03308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обследования жилищного фонда, проведенного муниципальным образованием, были сформированы реестры ветхого и аварийного жилищного фонда.</w:t>
      </w:r>
    </w:p>
    <w:p w:rsidR="00D03308" w:rsidRPr="003A3B55" w:rsidRDefault="00D03308" w:rsidP="00D03308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Из-за большого объема непригодного для постоянного проживания жилищного фонда, ограниченных возможностей местного бюджета и несовершенства муниципальное образование самостоятельно не может в полном объеме осуществить строительство жилья для переселения граждан, проживающих в жилых домах, не отвечающих установленным санитарным и техническим требованиям, поэтому необходимы финансовые средства областного бюджета.</w:t>
      </w:r>
    </w:p>
    <w:p w:rsidR="00D03308" w:rsidRPr="003A3B55" w:rsidRDefault="00D03308" w:rsidP="00D03308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посланию Президента Российской Федерации Путина В.В. Федеральному собранию Российской Федерации на 2013год   в 2013-2014 годах требуется значительно продвинуться в решении проблемы расселения аварийного жилья. В ближайшие  годы из таких домов в новые квартиры  </w:t>
      </w: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должны переехать все граждане, которые признаны на 1января 2012 года нуждающимися в улучшении жилищных условий в связи с аварийным состоянием их жилища. </w:t>
      </w:r>
    </w:p>
    <w:p w:rsidR="00D03308" w:rsidRPr="003A3B55" w:rsidRDefault="00D03308" w:rsidP="00D03308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3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Указ) в установленные сроки необходимо разработать комплекс мер, направленных на решение задач, связанных с ликвидации аварийного жилищного фонда.   </w:t>
      </w:r>
    </w:p>
    <w:p w:rsidR="00D03308" w:rsidRDefault="00D03308" w:rsidP="00D03308">
      <w:pPr>
        <w:pStyle w:val="20"/>
        <w:shd w:val="clear" w:color="auto" w:fill="auto"/>
        <w:spacing w:after="0" w:line="317" w:lineRule="exact"/>
        <w:ind w:firstLine="740"/>
      </w:pPr>
      <w:r>
        <w:t>Пр</w:t>
      </w:r>
      <w:r w:rsidRPr="00216EA6">
        <w:t xml:space="preserve">ограмма разработана в соответствии с подпрограммой «Переселение граждан из ветхого и аварийного жилищного фонда Иркутской области» </w:t>
      </w:r>
      <w:r>
        <w:t xml:space="preserve">                  </w:t>
      </w:r>
      <w:r w:rsidRPr="00216EA6">
        <w:t>на</w:t>
      </w:r>
      <w:r>
        <w:t> </w:t>
      </w:r>
      <w:r w:rsidRPr="00216EA6">
        <w:t>2014</w:t>
      </w:r>
      <w:r>
        <w:t> </w:t>
      </w:r>
      <w:r w:rsidRPr="00216EA6">
        <w:t>–</w:t>
      </w:r>
      <w:r>
        <w:t> </w:t>
      </w:r>
      <w:r w:rsidRPr="00216EA6">
        <w:t>2020</w:t>
      </w:r>
      <w:r>
        <w:t> </w:t>
      </w:r>
      <w:r w:rsidRPr="00216EA6">
        <w:t>годы государственной программы Иркутской области «Доступное жилье» на</w:t>
      </w:r>
      <w:r>
        <w:t> </w:t>
      </w:r>
      <w:r w:rsidRPr="00216EA6">
        <w:t>2014</w:t>
      </w:r>
      <w:r>
        <w:t> </w:t>
      </w:r>
      <w:r w:rsidRPr="00216EA6">
        <w:t>–</w:t>
      </w:r>
      <w:r>
        <w:t> </w:t>
      </w:r>
      <w:r w:rsidRPr="00216EA6">
        <w:t>2020</w:t>
      </w:r>
      <w:r>
        <w:t> </w:t>
      </w:r>
      <w:r w:rsidRPr="00216EA6">
        <w:t>годы, утвержденной постановлением Правительства Иркутской области от 24 октября 2013 года № 443-пп</w:t>
      </w:r>
      <w:r>
        <w:t xml:space="preserve"> </w:t>
      </w:r>
      <w:r w:rsidRPr="00216EA6">
        <w:t>(далее – Подпрограмма</w:t>
      </w:r>
      <w:r>
        <w:t>)</w:t>
      </w:r>
      <w:r w:rsidRPr="00216EA6">
        <w:t>.</w:t>
      </w:r>
    </w:p>
    <w:p w:rsidR="00D03308" w:rsidRDefault="00D03308" w:rsidP="00D03308">
      <w:pPr>
        <w:pStyle w:val="20"/>
        <w:shd w:val="clear" w:color="auto" w:fill="auto"/>
        <w:spacing w:after="0" w:line="317" w:lineRule="exact"/>
        <w:ind w:firstLine="740"/>
      </w:pPr>
    </w:p>
    <w:p w:rsidR="00D03308" w:rsidRDefault="00D03308" w:rsidP="00D03308">
      <w:pPr>
        <w:rPr>
          <w:sz w:val="2"/>
          <w:szCs w:val="2"/>
        </w:rPr>
      </w:pPr>
    </w:p>
    <w:p w:rsidR="00D03308" w:rsidRDefault="00D03308" w:rsidP="00D03308">
      <w:pPr>
        <w:pStyle w:val="20"/>
        <w:shd w:val="clear" w:color="auto" w:fill="auto"/>
        <w:spacing w:after="303" w:line="324" w:lineRule="exact"/>
        <w:ind w:left="2420"/>
        <w:jc w:val="left"/>
      </w:pPr>
      <w:r>
        <w:t>Раздел 1. ЦЕЛЬ И ЗАДАЧИ ПРОГРАММЫ, ЦЕЛЕВЫЕ ПОКАЗАТЕЛИ ПРОГРАММЫ, СРОКИ РЕАЛИЗАЦИИ</w:t>
      </w:r>
    </w:p>
    <w:p w:rsidR="00D03308" w:rsidRPr="00034533" w:rsidRDefault="00D03308" w:rsidP="00D03308">
      <w:pPr>
        <w:pStyle w:val="ConsPlusNormal"/>
        <w:numPr>
          <w:ilvl w:val="0"/>
          <w:numId w:val="1"/>
        </w:numPr>
        <w:ind w:firstLine="540"/>
        <w:jc w:val="both"/>
        <w:rPr>
          <w:color w:val="000000"/>
          <w:szCs w:val="28"/>
          <w:shd w:val="clear" w:color="auto" w:fill="FFFFFF"/>
          <w:lang w:bidi="ru-RU"/>
        </w:rPr>
      </w:pPr>
      <w:r w:rsidRPr="00034533">
        <w:rPr>
          <w:color w:val="000000"/>
          <w:szCs w:val="28"/>
          <w:shd w:val="clear" w:color="auto" w:fill="FFFFFF"/>
          <w:lang w:bidi="ru-RU"/>
        </w:rPr>
        <w:t>Целью Подпрограммы является обеспечение жильем граждан, проживающих в домах, признанных непригодными для проживания, и ликвидация существующего ветхого и аварийного жилищного фонда, признанного таковым до 1 января 2012 года.</w:t>
      </w:r>
    </w:p>
    <w:p w:rsidR="00D03308" w:rsidRDefault="00D03308" w:rsidP="00D03308">
      <w:pPr>
        <w:pStyle w:val="20"/>
        <w:shd w:val="clear" w:color="auto" w:fill="auto"/>
        <w:tabs>
          <w:tab w:val="left" w:pos="1276"/>
        </w:tabs>
        <w:spacing w:after="0" w:line="320" w:lineRule="exact"/>
        <w:ind w:firstLine="567"/>
      </w:pPr>
      <w:proofErr w:type="gramStart"/>
      <w:r w:rsidRPr="00337B09">
        <w:rPr>
          <w:shd w:val="clear" w:color="auto" w:fill="FFFFFF"/>
        </w:rPr>
        <w:t>В процессе достижения поставленной цели в 201</w:t>
      </w:r>
      <w:r>
        <w:rPr>
          <w:shd w:val="clear" w:color="auto" w:fill="FFFFFF"/>
        </w:rPr>
        <w:t>4</w:t>
      </w:r>
      <w:r w:rsidRPr="00337B09">
        <w:rPr>
          <w:shd w:val="clear" w:color="auto" w:fill="FFFFFF"/>
        </w:rPr>
        <w:t xml:space="preserve"> - 2017 годах должна быть решена задача по обеспечению жильем граждан, проживающих в домах, признанных непригодными для проживания, осуществляемая путем строительства и (или) приобретения, реконструкции жилых помещений для переселения граждан из непригодного для проживания жилищного фонда Иркутской области, а также путем предоставления возмещений гражданам за изымаемые жилые помещения аварийного жилищного фонда Иркутской области в</w:t>
      </w:r>
      <w:proofErr w:type="gramEnd"/>
      <w:r w:rsidRPr="00337B09">
        <w:rPr>
          <w:shd w:val="clear" w:color="auto" w:fill="FFFFFF"/>
        </w:rPr>
        <w:t xml:space="preserve"> </w:t>
      </w:r>
      <w:proofErr w:type="gramStart"/>
      <w:r w:rsidRPr="00146D47">
        <w:rPr>
          <w:shd w:val="clear" w:color="auto" w:fill="FFFFFF"/>
        </w:rPr>
        <w:t>соответствии</w:t>
      </w:r>
      <w:proofErr w:type="gramEnd"/>
      <w:r w:rsidRPr="00146D47">
        <w:rPr>
          <w:shd w:val="clear" w:color="auto" w:fill="FFFFFF"/>
        </w:rPr>
        <w:t xml:space="preserve"> со</w:t>
      </w:r>
      <w:r w:rsidRPr="00146D47">
        <w:rPr>
          <w:rStyle w:val="apple-converted-space"/>
          <w:shd w:val="clear" w:color="auto" w:fill="FFFFFF"/>
        </w:rPr>
        <w:t> </w:t>
      </w:r>
      <w:hyperlink r:id="rId5" w:anchor="/document/12138291/entry/32" w:history="1">
        <w:r w:rsidRPr="00146D47">
          <w:rPr>
            <w:rStyle w:val="a3"/>
            <w:rFonts w:eastAsia="Arial"/>
            <w:color w:val="auto"/>
            <w:u w:val="none"/>
            <w:shd w:val="clear" w:color="auto" w:fill="FFFFFF"/>
          </w:rPr>
          <w:t>статьей 32</w:t>
        </w:r>
      </w:hyperlink>
      <w:r w:rsidRPr="00146D47">
        <w:rPr>
          <w:rStyle w:val="apple-converted-space"/>
          <w:shd w:val="clear" w:color="auto" w:fill="FFFFFF"/>
        </w:rPr>
        <w:t> </w:t>
      </w:r>
      <w:r w:rsidRPr="00146D47">
        <w:rPr>
          <w:shd w:val="clear" w:color="auto" w:fill="FFFFFF"/>
        </w:rPr>
        <w:t>Жилищного</w:t>
      </w:r>
      <w:r w:rsidRPr="00337B09">
        <w:rPr>
          <w:shd w:val="clear" w:color="auto" w:fill="FFFFFF"/>
        </w:rPr>
        <w:t xml:space="preserve"> кодекса Российской Федерации</w:t>
      </w:r>
      <w:r>
        <w:t>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40"/>
      </w:pPr>
      <w:r>
        <w:t>Задачей Программы является обеспечение жильем граждан, проживающих в домах, признанных непригодными для постоянного проживания.</w:t>
      </w:r>
    </w:p>
    <w:p w:rsidR="00D03308" w:rsidRDefault="00D03308" w:rsidP="00D0330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0" w:lineRule="exact"/>
        <w:ind w:firstLine="740"/>
      </w:pPr>
      <w:proofErr w:type="gramStart"/>
      <w:r>
        <w:t>В процессе достижения поставленной цели в 2014-2017 годах должна быть решена задача по обеспечению жильем граждан, проживающих в домах, признанных непригодными для проживания, осуществляемая путем строительства, реконструкции жилых помещений и (или) приобретению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осуществлявших строительство этих жилых помещений</w:t>
      </w:r>
      <w:proofErr w:type="gramEnd"/>
      <w:r>
        <w:t xml:space="preserve"> (далее - строительство и (или) приобретение, реконструкция жилых помещений), для переселения граждан из непригодного для проживания жилищного фонда </w:t>
      </w:r>
      <w:proofErr w:type="spellStart"/>
      <w:r>
        <w:t>Новоудинского</w:t>
      </w:r>
      <w:proofErr w:type="spellEnd"/>
      <w:r>
        <w:t xml:space="preserve"> муниципального образования в соответствии с приложением 1 к Программе.</w:t>
      </w:r>
    </w:p>
    <w:p w:rsidR="00D03308" w:rsidRDefault="00D03308" w:rsidP="00D0330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firstLine="740"/>
      </w:pPr>
      <w:r>
        <w:t>Своевременное решение поставленной задачи будет способствовать достижению целевых индикаторов, установленных Программой, и ее цели.</w:t>
      </w:r>
    </w:p>
    <w:p w:rsidR="00D03308" w:rsidRDefault="00D03308" w:rsidP="00D03308">
      <w:pPr>
        <w:pStyle w:val="20"/>
        <w:shd w:val="clear" w:color="auto" w:fill="auto"/>
        <w:tabs>
          <w:tab w:val="left" w:pos="0"/>
        </w:tabs>
        <w:spacing w:after="0" w:line="320" w:lineRule="exact"/>
        <w:ind w:firstLine="709"/>
      </w:pPr>
      <w:r>
        <w:lastRenderedPageBreak/>
        <w:t>Целевыми показателями оценки хода реализации Программы являются:</w:t>
      </w:r>
    </w:p>
    <w:p w:rsidR="00D03308" w:rsidRPr="00146D47" w:rsidRDefault="00D03308" w:rsidP="00D03308">
      <w:pPr>
        <w:pStyle w:val="ConsPlusNormal"/>
        <w:ind w:firstLine="709"/>
        <w:jc w:val="both"/>
      </w:pPr>
      <w:r w:rsidRPr="00146D47">
        <w:t>1</w:t>
      </w:r>
      <w:r>
        <w:t>)</w:t>
      </w:r>
      <w:r w:rsidRPr="00146D47">
        <w:t xml:space="preserve"> </w:t>
      </w:r>
      <w:r>
        <w:t>д</w:t>
      </w:r>
      <w:r w:rsidRPr="00146D47">
        <w:t>оля семей, переселенных из ветхого и аварийного жилья, в общем количестве семей, нуждающихся в</w:t>
      </w:r>
      <w:r>
        <w:t xml:space="preserve"> переселении, - 100% (219 семей);</w:t>
      </w:r>
    </w:p>
    <w:p w:rsidR="00D03308" w:rsidRPr="00146D47" w:rsidRDefault="00D03308" w:rsidP="00D03308">
      <w:pPr>
        <w:pStyle w:val="ConsPlusNormal"/>
        <w:ind w:firstLine="709"/>
        <w:jc w:val="both"/>
      </w:pPr>
      <w:r>
        <w:t>2) о</w:t>
      </w:r>
      <w:r w:rsidRPr="00146D47">
        <w:t xml:space="preserve">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возмещения, - </w:t>
      </w:r>
      <w:r>
        <w:t xml:space="preserve">                  10 038 кв</w:t>
      </w:r>
      <w:proofErr w:type="gramStart"/>
      <w:r>
        <w:t>.м</w:t>
      </w:r>
      <w:proofErr w:type="gramEnd"/>
      <w:r>
        <w:t>;</w:t>
      </w:r>
    </w:p>
    <w:p w:rsidR="00D03308" w:rsidRPr="00146D47" w:rsidRDefault="00D03308" w:rsidP="00D03308">
      <w:pPr>
        <w:pStyle w:val="ConsPlusNormal"/>
        <w:ind w:firstLine="709"/>
        <w:jc w:val="both"/>
      </w:pPr>
      <w:r>
        <w:t>3) п</w:t>
      </w:r>
      <w:r w:rsidRPr="00146D47">
        <w:t xml:space="preserve">лощадь снесенного непригодного для </w:t>
      </w:r>
      <w:r>
        <w:t>проживания жилищного фонда – 10 038</w:t>
      </w:r>
      <w:r w:rsidRPr="00146D47">
        <w:t xml:space="preserve"> кв.м</w:t>
      </w:r>
      <w:r>
        <w:t>.</w:t>
      </w:r>
    </w:p>
    <w:p w:rsidR="00D03308" w:rsidRDefault="00D03308" w:rsidP="00D0330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67"/>
        </w:tabs>
        <w:spacing w:after="0" w:line="280" w:lineRule="exact"/>
        <w:ind w:firstLine="740"/>
      </w:pPr>
      <w:r>
        <w:t>Срок реализации Программы: с 2014 по 2020 год.</w:t>
      </w:r>
    </w:p>
    <w:p w:rsidR="00D03308" w:rsidRDefault="00D03308" w:rsidP="00D03308">
      <w:pPr>
        <w:pStyle w:val="20"/>
        <w:shd w:val="clear" w:color="auto" w:fill="auto"/>
        <w:tabs>
          <w:tab w:val="left" w:pos="0"/>
        </w:tabs>
        <w:spacing w:after="0" w:line="280" w:lineRule="exact"/>
        <w:ind w:firstLine="740"/>
      </w:pPr>
      <w:r>
        <w:t>Программа реализуется в один этап.</w:t>
      </w:r>
    </w:p>
    <w:p w:rsidR="00D03308" w:rsidRPr="006D0F9D" w:rsidRDefault="00D03308" w:rsidP="00D03308">
      <w:pPr>
        <w:pStyle w:val="20"/>
        <w:shd w:val="clear" w:color="auto" w:fill="auto"/>
        <w:tabs>
          <w:tab w:val="left" w:pos="0"/>
        </w:tabs>
        <w:spacing w:after="0" w:line="280" w:lineRule="exact"/>
        <w:ind w:firstLine="74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708"/>
        <w:gridCol w:w="709"/>
        <w:gridCol w:w="851"/>
        <w:gridCol w:w="708"/>
        <w:gridCol w:w="709"/>
        <w:gridCol w:w="851"/>
        <w:gridCol w:w="708"/>
        <w:gridCol w:w="750"/>
      </w:tblGrid>
      <w:tr w:rsidR="00D03308" w:rsidRPr="00C011CD" w:rsidTr="002C4BB0">
        <w:tc>
          <w:tcPr>
            <w:tcW w:w="3936" w:type="dxa"/>
            <w:shd w:val="clear" w:color="auto" w:fill="auto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11CD">
              <w:t>Целевые показатели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2016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2017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2018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2019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2020</w:t>
            </w:r>
          </w:p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год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Всего</w:t>
            </w:r>
          </w:p>
        </w:tc>
      </w:tr>
      <w:tr w:rsidR="00D03308" w:rsidRPr="00C011CD" w:rsidTr="002C4BB0">
        <w:tc>
          <w:tcPr>
            <w:tcW w:w="3936" w:type="dxa"/>
            <w:shd w:val="clear" w:color="auto" w:fill="auto"/>
          </w:tcPr>
          <w:p w:rsidR="00D03308" w:rsidRPr="00C011CD" w:rsidRDefault="00D03308" w:rsidP="002C4BB0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691678">
              <w:rPr>
                <w:sz w:val="23"/>
                <w:szCs w:val="23"/>
              </w:rPr>
              <w:t xml:space="preserve">1. Объем </w:t>
            </w:r>
            <w:r w:rsidRPr="00146D47">
              <w:t>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</w:t>
            </w:r>
            <w:r w:rsidRPr="00691678">
              <w:rPr>
                <w:sz w:val="23"/>
                <w:szCs w:val="23"/>
              </w:rPr>
              <w:t xml:space="preserve"> в ходе реализации Программы (</w:t>
            </w:r>
            <w:r w:rsidRPr="00691678">
              <w:rPr>
                <w:b/>
                <w:sz w:val="23"/>
                <w:szCs w:val="23"/>
              </w:rPr>
              <w:t>кв</w:t>
            </w:r>
            <w:proofErr w:type="gramStart"/>
            <w:r w:rsidRPr="00691678">
              <w:rPr>
                <w:b/>
                <w:sz w:val="23"/>
                <w:szCs w:val="23"/>
              </w:rPr>
              <w:t>.м</w:t>
            </w:r>
            <w:proofErr w:type="gramEnd"/>
            <w:r w:rsidRPr="00691678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10 038</w:t>
            </w:r>
          </w:p>
        </w:tc>
      </w:tr>
      <w:tr w:rsidR="00D03308" w:rsidRPr="00C011CD" w:rsidTr="002C4BB0">
        <w:tc>
          <w:tcPr>
            <w:tcW w:w="3936" w:type="dxa"/>
            <w:shd w:val="clear" w:color="auto" w:fill="auto"/>
          </w:tcPr>
          <w:p w:rsidR="00D03308" w:rsidRPr="00C011CD" w:rsidRDefault="00D03308" w:rsidP="002C4BB0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691678">
              <w:rPr>
                <w:sz w:val="23"/>
                <w:szCs w:val="23"/>
              </w:rPr>
              <w:t>2. Доля семей, переселенных из ветхого и аварийного жилья, в общем количестве семей, нуждающихся в переселении (</w:t>
            </w:r>
            <w:r w:rsidRPr="00691678">
              <w:rPr>
                <w:b/>
                <w:sz w:val="23"/>
                <w:szCs w:val="23"/>
              </w:rPr>
              <w:t>%</w:t>
            </w:r>
            <w:r w:rsidRPr="00691678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691678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trike/>
                <w:lang w:eastAsia="en-US"/>
              </w:rPr>
            </w:pPr>
            <w:r w:rsidRPr="00691678">
              <w:rPr>
                <w:strike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691678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trike/>
                <w:lang w:eastAsia="en-US"/>
              </w:rPr>
            </w:pPr>
            <w:r w:rsidRPr="00691678">
              <w:rPr>
                <w:strike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31,05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C011CD">
              <w:rPr>
                <w:lang w:eastAsia="en-US"/>
              </w:rPr>
              <w:t>100</w:t>
            </w:r>
          </w:p>
        </w:tc>
      </w:tr>
      <w:tr w:rsidR="00D03308" w:rsidRPr="00C011CD" w:rsidTr="002C4BB0">
        <w:tc>
          <w:tcPr>
            <w:tcW w:w="3936" w:type="dxa"/>
            <w:shd w:val="clear" w:color="auto" w:fill="auto"/>
          </w:tcPr>
          <w:p w:rsidR="00D03308" w:rsidRPr="00C011CD" w:rsidRDefault="00D03308" w:rsidP="002C4BB0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691678">
              <w:rPr>
                <w:sz w:val="23"/>
                <w:szCs w:val="23"/>
              </w:rPr>
              <w:t>3. Площадь снесенного непригодного для проживания жилищного фонда (</w:t>
            </w:r>
            <w:r w:rsidRPr="00691678">
              <w:rPr>
                <w:b/>
                <w:sz w:val="23"/>
                <w:szCs w:val="23"/>
              </w:rPr>
              <w:t>кв</w:t>
            </w:r>
            <w:proofErr w:type="gramStart"/>
            <w:r w:rsidRPr="00691678">
              <w:rPr>
                <w:b/>
                <w:sz w:val="23"/>
                <w:szCs w:val="23"/>
              </w:rPr>
              <w:t>.м</w:t>
            </w:r>
            <w:proofErr w:type="gramEnd"/>
            <w:r w:rsidRPr="00691678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03308" w:rsidRPr="00C011CD" w:rsidRDefault="00D03308" w:rsidP="002C4BB0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10 038</w:t>
            </w:r>
          </w:p>
        </w:tc>
      </w:tr>
    </w:tbl>
    <w:p w:rsidR="00D03308" w:rsidRPr="006D0F9D" w:rsidRDefault="00D03308" w:rsidP="00D03308">
      <w:pPr>
        <w:pStyle w:val="20"/>
        <w:shd w:val="clear" w:color="auto" w:fill="auto"/>
        <w:tabs>
          <w:tab w:val="left" w:pos="1051"/>
        </w:tabs>
        <w:spacing w:after="321" w:line="306" w:lineRule="exact"/>
        <w:ind w:left="740" w:firstLine="0"/>
        <w:rPr>
          <w:sz w:val="16"/>
          <w:szCs w:val="16"/>
        </w:rPr>
      </w:pPr>
    </w:p>
    <w:p w:rsidR="00D03308" w:rsidRDefault="00D03308" w:rsidP="00D03308">
      <w:pPr>
        <w:pStyle w:val="20"/>
        <w:shd w:val="clear" w:color="auto" w:fill="auto"/>
        <w:spacing w:after="316" w:line="280" w:lineRule="exact"/>
        <w:ind w:left="1820" w:firstLine="0"/>
        <w:jc w:val="left"/>
      </w:pPr>
      <w:r>
        <w:t>Раздел 2. ОСНОВНЫЕ МЕРОПРИЯТИЯ ПРОГРАММЫ</w:t>
      </w:r>
    </w:p>
    <w:p w:rsidR="00D03308" w:rsidRDefault="00D03308" w:rsidP="00D03308">
      <w:pPr>
        <w:pStyle w:val="20"/>
        <w:shd w:val="clear" w:color="auto" w:fill="auto"/>
        <w:spacing w:after="0" w:line="317" w:lineRule="exact"/>
        <w:ind w:firstLine="740"/>
      </w:pPr>
      <w:r>
        <w:t>Основное мероприятие Программы - обеспечение жильем граждан, проживающих в домах, признанных непригодными для постоянного проживания.</w:t>
      </w:r>
    </w:p>
    <w:p w:rsidR="00D03308" w:rsidRDefault="00D03308" w:rsidP="00D03308">
      <w:pPr>
        <w:pStyle w:val="20"/>
        <w:shd w:val="clear" w:color="auto" w:fill="auto"/>
        <w:spacing w:after="0" w:line="317" w:lineRule="exact"/>
        <w:ind w:firstLine="740"/>
      </w:pPr>
      <w:r>
        <w:t>Основное мероприятие Программы осуществляется путем реализации мероприятия по строительству и (или) приобретению, реконструкции жилых помещений.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Механизм реализации Программы включает в себя следующие мероприятия:</w:t>
      </w:r>
    </w:p>
    <w:p w:rsidR="00D03308" w:rsidRPr="00771D58" w:rsidRDefault="00D03308" w:rsidP="00D03308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320" w:lineRule="exact"/>
        <w:ind w:firstLine="760"/>
      </w:pPr>
      <w:proofErr w:type="gramStart"/>
      <w:r>
        <w:t xml:space="preserve">Заключение между Министерством строительства, дорожного хозяйства Иркутской области (далее - Министерство) </w:t>
      </w:r>
      <w:r w:rsidRPr="00771D58">
        <w:t xml:space="preserve">и </w:t>
      </w:r>
      <w:proofErr w:type="spellStart"/>
      <w:r w:rsidRPr="00771D58">
        <w:t>Новоудинским</w:t>
      </w:r>
      <w:proofErr w:type="spellEnd"/>
      <w:r w:rsidRPr="00771D58">
        <w:t xml:space="preserve"> муниципальным образованием - участниками Программы соглашения о</w:t>
      </w:r>
      <w:r>
        <w:t xml:space="preserve"> предоставлении субсидии в рамках реализации Программы, предоставление субсидии из областного бюджета бюджетам муниципальных образований Иркутской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по строительству и </w:t>
      </w:r>
      <w:r w:rsidRPr="00771D58">
        <w:t xml:space="preserve">(или) приобретению, реконструкции жилых помещений для переселения граждан из непригодного для проживания жилищного фонда </w:t>
      </w:r>
      <w:proofErr w:type="spellStart"/>
      <w:r w:rsidRPr="00771D58">
        <w:t>Новоудинского</w:t>
      </w:r>
      <w:proofErr w:type="spellEnd"/>
      <w:r w:rsidRPr="00771D58">
        <w:t xml:space="preserve">  муниципального образования (далее - субсидии).</w:t>
      </w:r>
      <w:proofErr w:type="gramEnd"/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proofErr w:type="gramStart"/>
      <w:r w:rsidRPr="00771D58">
        <w:t xml:space="preserve">В целях обеспечения жильем граждан, проживающих в домах, </w:t>
      </w:r>
      <w:r w:rsidRPr="00771D58">
        <w:lastRenderedPageBreak/>
        <w:t>признанных непригодными для п</w:t>
      </w:r>
      <w:r>
        <w:t xml:space="preserve">роживания, а также координации и контроля за исполнением мероприятий реализации Программы 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расходных обязательств по строительству и (или) приобретению, реконструкции жилых помещений для переселения граждан из непригодного для проживания жилищного фонда </w:t>
      </w:r>
      <w:proofErr w:type="spellStart"/>
      <w:r>
        <w:t>Новоудинского</w:t>
      </w:r>
      <w:proofErr w:type="spellEnd"/>
      <w:proofErr w:type="gramEnd"/>
      <w:r>
        <w:t xml:space="preserve"> муниципального образования (далее - Соглашение).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Субсидии предоставляются на основании Соглашения.</w:t>
      </w:r>
    </w:p>
    <w:p w:rsidR="00D03308" w:rsidRDefault="00D03308" w:rsidP="00D03308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320" w:lineRule="exact"/>
        <w:ind w:firstLine="760"/>
      </w:pPr>
      <w:r>
        <w:t xml:space="preserve">Заключение муниципальных контрактов на строительство и (или) приобретение, реконструкцию жилых помещений для переселения граждан из непригодного для проживания жилищного фонда </w:t>
      </w:r>
      <w:proofErr w:type="spellStart"/>
      <w:r>
        <w:t>Новоудинского</w:t>
      </w:r>
      <w:proofErr w:type="spellEnd"/>
      <w:r>
        <w:t xml:space="preserve"> муниципального образования.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Заключение муниципальных контрактов на строительство и (или) приобретение у застройщиков жилых помещений производится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Градостроительным кодексом Российской Федерации.</w:t>
      </w:r>
    </w:p>
    <w:p w:rsidR="00D03308" w:rsidRDefault="00D03308" w:rsidP="00D03308">
      <w:pPr>
        <w:pStyle w:val="20"/>
        <w:shd w:val="clear" w:color="auto" w:fill="auto"/>
        <w:tabs>
          <w:tab w:val="left" w:pos="8114"/>
        </w:tabs>
        <w:spacing w:after="0" w:line="320" w:lineRule="exact"/>
        <w:ind w:firstLine="760"/>
      </w:pPr>
      <w:r>
        <w:t xml:space="preserve">Цена муниципального контракта на строительство и (или) приобретение, реконструкцию жилых помещений формируется </w:t>
      </w:r>
      <w:proofErr w:type="spellStart"/>
      <w:r>
        <w:t>Новоудинским</w:t>
      </w:r>
      <w:proofErr w:type="spellEnd"/>
      <w:r>
        <w:t xml:space="preserve"> муниципальным образованием в соответствии с законодательством. </w:t>
      </w:r>
      <w:proofErr w:type="gramStart"/>
      <w:r>
        <w:t>При этом максимальная стоимость одного квадратного метра строительства и (или) приобретения, реконструкции жилых помещений не должна превышать норматив стоимости одного квадратного метра общей площади жилого помещения, устанавливаемый для Иркутской области правовым актом Правительства Иркутской области на год, в котором планируется реализация мероприятий Подпрограммы (далее - норматив стоимости 1 кв. м. общей площади жилого помещения).</w:t>
      </w:r>
      <w:proofErr w:type="gramEnd"/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В случае заключения муниципального контракта на строительство и (или) приобретение, реконструкцию жилых помещений для переселения граждан из домов, признанных непригодными для проживания, по цене, превышающей норматив стоимости 1 кв. м. общей площади жилого помещения, финансирование расходов на оплату стоимости такого превышения осуществляется за счет средств местных бюджетов.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proofErr w:type="gramStart"/>
      <w:r>
        <w:t>В случае заключения муниципального контракта на строительство и (или) приобретение, реконструкцию жилых помещений для переселения граждан из непригодного для проживания жилищного фонда по цене меньшей, чем норматив стоимости 1 кв. м. общей площади жилого помещения, средства областного бюджета и средства местных бюджетов в сумме, составляющей разность между указанными ценами, могут расходоваться на оплату стоимости превышения общей площади жилого помещения в</w:t>
      </w:r>
      <w:proofErr w:type="gramEnd"/>
      <w:r>
        <w:t xml:space="preserve"> </w:t>
      </w:r>
      <w:proofErr w:type="gramStart"/>
      <w:r>
        <w:t>случае предоставления гражданину, переселяемому из непригодного для проживания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законодательством нормы общей площади жилого помещения:</w:t>
      </w:r>
      <w:proofErr w:type="gramEnd"/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t>33 кв. м. - на одиноко проживающего гражданина;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t>21 кв. м.- на одного члена семьи, состоящей из двух человек;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lastRenderedPageBreak/>
        <w:t>18 кв. м. - на одного члена семьи, состоящей из трех и более человек.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proofErr w:type="gramStart"/>
      <w:r>
        <w:t xml:space="preserve">При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</w:t>
      </w:r>
      <w:proofErr w:type="spellStart"/>
      <w:r>
        <w:t>Новоудинского</w:t>
      </w:r>
      <w:proofErr w:type="spellEnd"/>
      <w:r>
        <w:t xml:space="preserve"> муниципального образования имеет право расходовать средства на выполнение мероприятий, предусмотренных сводным сметным расчетом, составленным в соответствии с пунктом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                        от 16 февраля 2008 года № 87</w:t>
      </w:r>
      <w:proofErr w:type="gramEnd"/>
      <w:r>
        <w:t xml:space="preserve">, пропорционально за счет средств областного бюджета и бюджета </w:t>
      </w:r>
      <w:proofErr w:type="spellStart"/>
      <w:r>
        <w:t>Новоудинского</w:t>
      </w:r>
      <w:proofErr w:type="spellEnd"/>
      <w:r>
        <w:t xml:space="preserve"> муниципального образования.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proofErr w:type="gramStart"/>
      <w:r>
        <w:t xml:space="preserve">Строительный контроль осуществляется </w:t>
      </w:r>
      <w:proofErr w:type="spellStart"/>
      <w:r>
        <w:t>Новоудинским</w:t>
      </w:r>
      <w:proofErr w:type="spellEnd"/>
      <w:r>
        <w:t xml:space="preserve"> муниципальным образованием в соответствии с требованиями Градостроительного кодекса Российской Федерации в порядке, установленном постановлением Правительства Российской Федерации от 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пропорционально за счет средств областного бюджета и бюджета </w:t>
      </w:r>
      <w:proofErr w:type="spellStart"/>
      <w:r>
        <w:t>Новоудинского</w:t>
      </w:r>
      <w:proofErr w:type="spellEnd"/>
      <w:r>
        <w:t xml:space="preserve"> муниципального образования.</w:t>
      </w:r>
      <w:proofErr w:type="gramEnd"/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t xml:space="preserve">Приобретение жилых помещений на условиях долевого участия в строительстве осуществляется </w:t>
      </w:r>
      <w:proofErr w:type="spellStart"/>
      <w:r>
        <w:t>Новоудинским</w:t>
      </w:r>
      <w:proofErr w:type="spellEnd"/>
      <w:r>
        <w:t xml:space="preserve"> муниципальным образованием в соответствии с требованиями</w:t>
      </w:r>
      <w:r>
        <w:tab/>
        <w:t>Федерального закона от 30 декабря 2004 года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3308" w:rsidRPr="00282AB7" w:rsidRDefault="00D03308" w:rsidP="00D03308">
      <w:pPr>
        <w:pStyle w:val="20"/>
        <w:shd w:val="clear" w:color="auto" w:fill="auto"/>
        <w:spacing w:after="0" w:line="320" w:lineRule="exact"/>
        <w:ind w:firstLine="780"/>
      </w:pPr>
      <w:r w:rsidRPr="009201C7">
        <w:t>Мероприятия Программы подлежат реализации не позднее 31 декабря года, следующего за годом предоставления субсидии. Мероприятия Программы, на реализацию которых выделены средства в 2016, 2017 годах, должны быть реализованы не позднее 1 сентября 2017 года.</w:t>
      </w:r>
    </w:p>
    <w:p w:rsidR="00D03308" w:rsidRDefault="00D03308" w:rsidP="00D03308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320" w:lineRule="exact"/>
        <w:ind w:firstLine="780"/>
      </w:pPr>
      <w:r>
        <w:t xml:space="preserve"> Переселение граждан и снос непригодного для проживания жилищного фонда.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t xml:space="preserve">Переселение граждан осуществляется в соответствии с жилищным законодательством Российской Федерации. Порядок, очередность и объемы финансирования сноса расселенных непригодных для проживания жилых домов определяются администрацией </w:t>
      </w:r>
      <w:proofErr w:type="spellStart"/>
      <w:r>
        <w:t>Новоудинского</w:t>
      </w:r>
      <w:proofErr w:type="spellEnd"/>
      <w:r>
        <w:t xml:space="preserve">  муниципального образования.</w:t>
      </w:r>
    </w:p>
    <w:p w:rsidR="00D03308" w:rsidRPr="00337B09" w:rsidRDefault="00D03308" w:rsidP="00D03308">
      <w:pPr>
        <w:pStyle w:val="ConsPlusNormal"/>
        <w:ind w:firstLine="540"/>
        <w:jc w:val="both"/>
      </w:pPr>
      <w:r w:rsidRPr="00337B09">
        <w:t xml:space="preserve">Снос изъятых жилых помещений аварийного жилищного фонда осуществляется </w:t>
      </w:r>
      <w:proofErr w:type="spellStart"/>
      <w:r>
        <w:rPr>
          <w:szCs w:val="28"/>
        </w:rPr>
        <w:t>Новоудинским</w:t>
      </w:r>
      <w:proofErr w:type="spellEnd"/>
      <w:r w:rsidRPr="00337B09">
        <w:rPr>
          <w:szCs w:val="28"/>
        </w:rPr>
        <w:t xml:space="preserve"> муниципальным образованием</w:t>
      </w:r>
      <w:r w:rsidRPr="00337B09">
        <w:t xml:space="preserve"> за счет средств местного бюджета, за исключением средств, предусмотренных Подпрограммой на предоставление возмещений гражданам за изымаемые жилые помещения аварийного жилищного фонда.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80"/>
      </w:pPr>
      <w:r w:rsidRPr="00337B09">
        <w:t xml:space="preserve">Снос изъятых жилых помещений аварийного жилищного фонда осуществляется в соответствии с законодательством, в том числе Жилищным </w:t>
      </w:r>
      <w:hyperlink r:id="rId6" w:history="1">
        <w:r w:rsidRPr="00337B09">
          <w:t>кодексом</w:t>
        </w:r>
      </w:hyperlink>
      <w:r w:rsidRPr="00337B09">
        <w:t xml:space="preserve"> Российской Федерации</w:t>
      </w:r>
      <w:r>
        <w:t>.</w:t>
      </w:r>
    </w:p>
    <w:p w:rsidR="00D03308" w:rsidRPr="00337B09" w:rsidRDefault="00D03308" w:rsidP="00D03308">
      <w:pPr>
        <w:pStyle w:val="20"/>
        <w:shd w:val="clear" w:color="auto" w:fill="auto"/>
        <w:spacing w:after="0" w:line="320" w:lineRule="exact"/>
        <w:ind w:firstLine="780"/>
      </w:pPr>
      <w:r>
        <w:t xml:space="preserve">4. </w:t>
      </w:r>
      <w:r w:rsidRPr="00337B09">
        <w:t>В случае предоставления возмещений гражданам за изымаемые жилые помещения аварийного жилищного фонда:</w:t>
      </w:r>
    </w:p>
    <w:p w:rsidR="00D03308" w:rsidRPr="00337B09" w:rsidRDefault="00D03308" w:rsidP="00D03308">
      <w:pPr>
        <w:pStyle w:val="ConsPlusNormal"/>
        <w:ind w:firstLine="540"/>
        <w:jc w:val="both"/>
      </w:pPr>
      <w:r w:rsidRPr="00337B09">
        <w:t>1) заключение соглашения об изъятии недвижимости для муниципальных нужд с собственником жилого помещения аварийного жилищного фонда (далее - соглашение с собственником жилого помещения).</w:t>
      </w:r>
    </w:p>
    <w:p w:rsidR="00D03308" w:rsidRDefault="00D03308" w:rsidP="00D03308">
      <w:pPr>
        <w:pStyle w:val="ConsPlusNormal"/>
        <w:ind w:firstLine="540"/>
        <w:jc w:val="both"/>
      </w:pPr>
      <w:r w:rsidRPr="00337B09">
        <w:t xml:space="preserve">Заключение соглашения с собственником жилого помещения </w:t>
      </w:r>
      <w:r w:rsidRPr="00337B09">
        <w:lastRenderedPageBreak/>
        <w:t xml:space="preserve">осуществляется в порядке и в сроки, установленные федеральным законодательством, в том числе </w:t>
      </w:r>
      <w:hyperlink r:id="rId7" w:history="1">
        <w:r w:rsidRPr="00337B09">
          <w:t>статьей 32</w:t>
        </w:r>
      </w:hyperlink>
      <w:r w:rsidRPr="00337B09">
        <w:t xml:space="preserve"> Жилищного кодекса Российской Федерации.</w:t>
      </w:r>
    </w:p>
    <w:p w:rsidR="00D03308" w:rsidRPr="00337B09" w:rsidRDefault="00D03308" w:rsidP="00D03308">
      <w:pPr>
        <w:pStyle w:val="ConsPlusNormal"/>
        <w:ind w:firstLine="540"/>
        <w:jc w:val="both"/>
      </w:pPr>
      <w:r>
        <w:br w:type="page"/>
      </w:r>
      <w:r w:rsidRPr="00337B09">
        <w:lastRenderedPageBreak/>
        <w:t xml:space="preserve">Возмещение за изымаемое жилое помещение аварийного жилищного фонда предоставляется в размере, не превышающем стоимость расселения изымаемого жилого помещения (далее - стоимость расселения), рассчитанном исходя из общей площади изымаемого такого жилого помещения и норматива </w:t>
      </w:r>
      <w:r>
        <w:t xml:space="preserve">                    </w:t>
      </w:r>
      <w:r w:rsidRPr="00337B09">
        <w:t>стоимости 1 кв</w:t>
      </w:r>
      <w:proofErr w:type="gramStart"/>
      <w:r w:rsidRPr="00337B09">
        <w:t>.м</w:t>
      </w:r>
      <w:proofErr w:type="gramEnd"/>
      <w:r w:rsidRPr="00337B09">
        <w:t xml:space="preserve"> общей площади жилого помещения, и производится пропорционально за счет средств областного бюджета и средств местных бюджетов.</w:t>
      </w:r>
    </w:p>
    <w:p w:rsidR="00D03308" w:rsidRDefault="00D03308" w:rsidP="00D03308">
      <w:pPr>
        <w:pStyle w:val="20"/>
        <w:shd w:val="clear" w:color="auto" w:fill="auto"/>
        <w:spacing w:after="303" w:line="324" w:lineRule="exact"/>
        <w:ind w:firstLine="709"/>
      </w:pPr>
      <w:r w:rsidRPr="00337B09">
        <w:t>В случае</w:t>
      </w:r>
      <w:proofErr w:type="gramStart"/>
      <w:r w:rsidRPr="00337B09">
        <w:t>,</w:t>
      </w:r>
      <w:proofErr w:type="gramEnd"/>
      <w:r w:rsidRPr="00337B09">
        <w:t xml:space="preserve"> если размер возмещения за изымаемое жилое помещение аварийного жилищного фонда превышает стоимость расселения, то финансирование такого превышения осуществляется за счет средств местных бюджетов, не предусмотренных на долевое </w:t>
      </w:r>
      <w:proofErr w:type="spellStart"/>
      <w:r w:rsidRPr="00337B09">
        <w:t>софинансирование</w:t>
      </w:r>
      <w:proofErr w:type="spellEnd"/>
      <w:r w:rsidRPr="00337B09">
        <w:t xml:space="preserve"> муниципальной программы</w:t>
      </w:r>
      <w:r>
        <w:t>.</w:t>
      </w:r>
    </w:p>
    <w:p w:rsidR="00D03308" w:rsidRDefault="00D03308" w:rsidP="00D03308">
      <w:pPr>
        <w:pStyle w:val="20"/>
        <w:shd w:val="clear" w:color="auto" w:fill="auto"/>
        <w:spacing w:line="320" w:lineRule="exact"/>
        <w:ind w:firstLine="760"/>
      </w:pPr>
      <w:r>
        <w:t>Раздел 3. МЕРЫ ГОСУДАРСТВЕННОГО РЕГУЛИРОВАНИЯ, НАПРАВЛЕННЫЕ НА ДОСТИЖЕНИЕ ЦЕЛИ И ЗАДАЧ ПРОГРАММЫ</w:t>
      </w:r>
    </w:p>
    <w:p w:rsidR="00D03308" w:rsidRDefault="00D03308" w:rsidP="00D03308">
      <w:pPr>
        <w:pStyle w:val="20"/>
        <w:shd w:val="clear" w:color="auto" w:fill="auto"/>
        <w:spacing w:after="332" w:line="320" w:lineRule="exact"/>
        <w:ind w:firstLine="760"/>
      </w:pPr>
      <w:r>
        <w:t>Переселение граждан из непригодного для проживания жилищного фонда в рамках Программы регулируются статьями 32 и 89 Жилищного кодекса Российской Федерации.</w:t>
      </w:r>
    </w:p>
    <w:p w:rsidR="00D03308" w:rsidRDefault="00D03308" w:rsidP="00D03308">
      <w:pPr>
        <w:pStyle w:val="20"/>
        <w:shd w:val="clear" w:color="auto" w:fill="auto"/>
        <w:spacing w:after="246" w:line="280" w:lineRule="exact"/>
        <w:ind w:left="1820" w:firstLine="0"/>
        <w:jc w:val="left"/>
      </w:pPr>
      <w:r>
        <w:t>Раздел 4. РЕСУРСНОЕ ОБЕСПЕЧЕНИЕ ПРОГРАММЫ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D03308" w:rsidRDefault="00D03308" w:rsidP="00D03308">
      <w:pPr>
        <w:pStyle w:val="20"/>
        <w:shd w:val="clear" w:color="auto" w:fill="auto"/>
        <w:spacing w:after="332" w:line="320" w:lineRule="exact"/>
        <w:ind w:firstLine="760"/>
      </w:pPr>
      <w:r>
        <w:t xml:space="preserve">Объем финансирования строительства и (или) приобретения, реконструкции жилых помещений в рамках реализации Программы рассчитан исходя из сведений об аварийном </w:t>
      </w:r>
      <w:r w:rsidRPr="00771D58">
        <w:t xml:space="preserve">жилищном фонде </w:t>
      </w:r>
      <w:proofErr w:type="spellStart"/>
      <w:r w:rsidRPr="00771D58">
        <w:t>Новоудинского</w:t>
      </w:r>
      <w:proofErr w:type="spellEnd"/>
      <w:r w:rsidRPr="00771D58">
        <w:t xml:space="preserve"> муниципального образования, представленных в автоматизированной информационной системе «Реформа ЖКХ», и норматива стоимости 1</w:t>
      </w:r>
      <w:r>
        <w:t xml:space="preserve"> кв. м. общей площади жилого помещения.</w:t>
      </w:r>
    </w:p>
    <w:p w:rsidR="00D03308" w:rsidRDefault="00D03308" w:rsidP="00D03308">
      <w:pPr>
        <w:pStyle w:val="20"/>
        <w:shd w:val="clear" w:color="auto" w:fill="auto"/>
        <w:spacing w:after="260" w:line="280" w:lineRule="exact"/>
        <w:ind w:left="1820" w:firstLine="0"/>
        <w:jc w:val="left"/>
      </w:pPr>
      <w:r>
        <w:t>Раздел 5. ПОРЯДОК ПРЕДОСТАВЛЕНИЯ СУБСИДИЙ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60"/>
      </w:pPr>
      <w:r>
        <w:t>Предоставление субсидий осуществляется в пределах лимитов бюджетных обязательств, доведенных до Министерства на соответствующий финансовый год.</w:t>
      </w:r>
    </w:p>
    <w:p w:rsidR="00D03308" w:rsidRPr="0070279D" w:rsidRDefault="00D03308" w:rsidP="00D03308">
      <w:pPr>
        <w:pStyle w:val="20"/>
        <w:shd w:val="clear" w:color="auto" w:fill="auto"/>
        <w:spacing w:after="0" w:line="320" w:lineRule="exact"/>
        <w:ind w:firstLine="760"/>
      </w:pPr>
      <w:proofErr w:type="gramStart"/>
      <w:r>
        <w:t>Условия предоставления и расходования субсидий из областного бюджета местным бюджетам устанавливаются в соответствии с постановлением Правительства Иркутской области от 17 марта 2016 года № 137-пп «</w:t>
      </w:r>
      <w:r w:rsidRPr="0070279D">
        <w:t>О</w:t>
      </w:r>
      <w:r>
        <w:t>б</w:t>
      </w:r>
      <w:r w:rsidRPr="0070279D">
        <w:t xml:space="preserve"> </w:t>
      </w:r>
      <w:r>
        <w:t xml:space="preserve">утверждении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строительство и (или) приобретение, реконструкцию жилых помещений, а также на предоставление возмещений гражданам</w:t>
      </w:r>
      <w:proofErr w:type="gramEnd"/>
      <w:r>
        <w:t xml:space="preserve"> </w:t>
      </w:r>
      <w:proofErr w:type="gramStart"/>
      <w:r>
        <w:t xml:space="preserve">за изымаемые жилые помещения аварийного жилищного фонда Иркутской области для переселения граждан из аварийного жилищного фонда Иркутской области, включенного в Перечень </w:t>
      </w:r>
      <w:r>
        <w:lastRenderedPageBreak/>
        <w:t>аварийных многоквартирных домов, расселяемых в рамках подпрограммы "Переселение граждан из ветхого и аварийного жилищного фонда Иркутской области" на 2014 - 2020 годы государственной программы Иркутской области "Доступное жилье" на 2014 - 2020 годы» (далее – Положение).</w:t>
      </w:r>
      <w:proofErr w:type="gramEnd"/>
    </w:p>
    <w:p w:rsidR="00D03308" w:rsidRDefault="00D03308" w:rsidP="00D03308">
      <w:pPr>
        <w:pStyle w:val="ConsPlusNormal"/>
        <w:ind w:firstLine="540"/>
        <w:jc w:val="both"/>
      </w:pPr>
      <w:r w:rsidRPr="0070279D">
        <w:rPr>
          <w:color w:val="000000"/>
          <w:szCs w:val="28"/>
          <w:lang w:bidi="ru-RU"/>
        </w:rPr>
        <w:t>Критериями отбора муниципальных образований Иркутской области</w:t>
      </w:r>
      <w:r>
        <w:t xml:space="preserve"> для предоставления субсидий являются:</w:t>
      </w:r>
    </w:p>
    <w:p w:rsidR="00D03308" w:rsidRDefault="00D03308" w:rsidP="00D03308">
      <w:pPr>
        <w:pStyle w:val="ConsPlusNormal"/>
        <w:ind w:firstLine="540"/>
        <w:jc w:val="both"/>
      </w:pPr>
      <w:r>
        <w:t>1) наличие муниципальной программы, предусматривающей реализацию мероприятий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(далее - муниципальная программа);</w:t>
      </w:r>
    </w:p>
    <w:p w:rsidR="00D03308" w:rsidRDefault="00D03308" w:rsidP="00D03308">
      <w:pPr>
        <w:pStyle w:val="ConsPlusNormal"/>
        <w:ind w:firstLine="540"/>
        <w:jc w:val="both"/>
      </w:pPr>
      <w:bookmarkStart w:id="1" w:name="Par90"/>
      <w:bookmarkEnd w:id="1"/>
      <w:r>
        <w:t xml:space="preserve">2) наличие аварийного жилищного фонда, признанного таковым по состоянию на 1 января 2012 года, и включенного в </w:t>
      </w:r>
      <w:hyperlink r:id="rId8" w:tooltip="Постановление Правительства Иркутской области от 24.10.2013 N 443-пп (ред. от 10.10.2016) &quot;Об утверждении государственной программы Иркутской области &quot;Доступное жилье&quot; на 2014 - 2020 годы&quot;{КонсультантПлюс}" w:history="1">
        <w:r w:rsidRPr="006A21D7">
          <w:t>Перечень</w:t>
        </w:r>
      </w:hyperlink>
      <w:r>
        <w:t xml:space="preserve"> аварийных многоквартирных домов, являющийся приложением 3 к Подпрограмме.</w:t>
      </w:r>
    </w:p>
    <w:p w:rsidR="00D03308" w:rsidRDefault="00D03308" w:rsidP="00D03308">
      <w:pPr>
        <w:pStyle w:val="ConsPlusNormal"/>
        <w:ind w:firstLine="540"/>
        <w:jc w:val="both"/>
      </w:pPr>
      <w:r>
        <w:t>Проверка соответствия муниципальных образований Иркутской области критерию отбора, осуществляется Министерством самостоятельно, так как исполнительным органом государственной власти Иркутской области, уполномоченным на предоставление субсидий, является Министерство.</w:t>
      </w:r>
    </w:p>
    <w:p w:rsidR="00D03308" w:rsidRDefault="00D03308" w:rsidP="00D03308">
      <w:pPr>
        <w:pStyle w:val="ConsPlusNormal"/>
        <w:ind w:firstLine="540"/>
        <w:jc w:val="both"/>
      </w:pPr>
      <w:bookmarkStart w:id="2" w:name="Par92"/>
      <w:bookmarkEnd w:id="2"/>
      <w:r>
        <w:t xml:space="preserve">Условием предоставления и расходования субсидий является наличие в местном бюджете бюджетных ассигнований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 </w:t>
      </w:r>
      <w:proofErr w:type="gramStart"/>
      <w:r>
        <w:t>размерах</w:t>
      </w:r>
      <w:proofErr w:type="gramEnd"/>
      <w:r>
        <w:t xml:space="preserve"> устанавливаемых для муниципальных образований Иркутской области, в соответствии с пунктами статьи 136 Бюджетного кодекса Российской Федерации. </w:t>
      </w:r>
    </w:p>
    <w:p w:rsidR="00D03308" w:rsidRDefault="00D03308" w:rsidP="00D03308">
      <w:pPr>
        <w:pStyle w:val="ConsPlusNormal"/>
        <w:ind w:firstLine="540"/>
        <w:jc w:val="both"/>
      </w:pPr>
      <w:bookmarkStart w:id="3" w:name="Par98"/>
      <w:bookmarkEnd w:id="3"/>
      <w:r>
        <w:t>Для получения субсидий органы местного самоуправления муниципальных образований Иркутской области в установленный срок представляют в Министерство:</w:t>
      </w:r>
    </w:p>
    <w:p w:rsidR="00D03308" w:rsidRDefault="00D03308" w:rsidP="00D03308">
      <w:pPr>
        <w:pStyle w:val="ConsPlusNormal"/>
        <w:ind w:firstLine="540"/>
        <w:jc w:val="both"/>
      </w:pPr>
      <w:r>
        <w:t>1) копию муниципальной программы;</w:t>
      </w:r>
    </w:p>
    <w:p w:rsidR="00D03308" w:rsidRDefault="00D03308" w:rsidP="00D03308">
      <w:pPr>
        <w:pStyle w:val="ConsPlusNormal"/>
        <w:ind w:firstLine="540"/>
        <w:jc w:val="both"/>
      </w:pPr>
      <w:r>
        <w:t>2) выписку из сводной бюджетной росписи местного бюджета, содержащую сведения о наличии в местном бюджете бюджетных ассигнований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области;</w:t>
      </w:r>
    </w:p>
    <w:p w:rsidR="00D03308" w:rsidRDefault="00D03308" w:rsidP="00D03308">
      <w:pPr>
        <w:pStyle w:val="ConsPlusNormal"/>
        <w:ind w:firstLine="540"/>
        <w:jc w:val="both"/>
      </w:pPr>
      <w:r>
        <w:t>3) пояснительную записку с указанием площади аварийного жилищного фонда, планируемого к расселению в текущем году, исходя из возможностей муниципального образования Иркутской области, а также способа реализации соответствующих мероприятий (строительство, приобретение, реконструкция жилых помещений, предоставление возмещений гражданам за изымаемые жилые помещения аварийного жилищного фонда Иркутской области).</w:t>
      </w:r>
    </w:p>
    <w:p w:rsidR="00D03308" w:rsidRDefault="00D03308" w:rsidP="00D03308">
      <w:pPr>
        <w:pStyle w:val="ConsPlusNormal"/>
        <w:ind w:firstLine="540"/>
        <w:jc w:val="both"/>
      </w:pPr>
      <w:r>
        <w:t>Министерство по результатам рассмотрения документов, указанных в Положении (далее - документы), принимает решение о предоставлении субсидии либо об отказе в предоставлении субсидии.</w:t>
      </w:r>
    </w:p>
    <w:p w:rsidR="00D03308" w:rsidRDefault="00D03308" w:rsidP="00D03308">
      <w:pPr>
        <w:pStyle w:val="ConsPlusNormal"/>
        <w:ind w:firstLine="540"/>
        <w:jc w:val="both"/>
      </w:pPr>
      <w:bookmarkStart w:id="4" w:name="Par105"/>
      <w:bookmarkEnd w:id="4"/>
      <w:r>
        <w:t>Основаниями для отказа в предоставлении субсидии являются:</w:t>
      </w:r>
    </w:p>
    <w:p w:rsidR="00D03308" w:rsidRDefault="00D03308" w:rsidP="00D03308">
      <w:pPr>
        <w:pStyle w:val="ConsPlusNormal"/>
        <w:ind w:firstLine="540"/>
        <w:jc w:val="both"/>
      </w:pPr>
      <w:r>
        <w:t>1) представление неполного перечня документов;</w:t>
      </w:r>
    </w:p>
    <w:p w:rsidR="00D03308" w:rsidRDefault="00D03308" w:rsidP="00D03308">
      <w:pPr>
        <w:pStyle w:val="ConsPlusNormal"/>
        <w:ind w:firstLine="540"/>
        <w:jc w:val="both"/>
      </w:pPr>
      <w:r>
        <w:lastRenderedPageBreak/>
        <w:t>2) несоответствие муниципального образования Иркутской области критериям отбора и условию, установленным Положением.</w:t>
      </w:r>
    </w:p>
    <w:p w:rsidR="00D03308" w:rsidRDefault="00D03308" w:rsidP="00D03308">
      <w:pPr>
        <w:pStyle w:val="ConsPlusNormal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ar158" w:tooltip="МЕТОДИКА" w:history="1">
        <w:r>
          <w:rPr>
            <w:color w:val="0000FF"/>
          </w:rPr>
          <w:t>методикой</w:t>
        </w:r>
      </w:hyperlink>
      <w:r>
        <w:t xml:space="preserve"> распределения субсидий согласно приложению 1 к Положению.</w:t>
      </w:r>
    </w:p>
    <w:p w:rsidR="00D03308" w:rsidRDefault="00D03308" w:rsidP="00D03308">
      <w:pPr>
        <w:pStyle w:val="ConsPlusNormal"/>
        <w:ind w:firstLine="540"/>
        <w:jc w:val="both"/>
      </w:pPr>
      <w:hyperlink w:anchor="Par227" w:tooltip="РАСПРЕДЕЛЕНИЕ СУБСИДИЙ ИЗ ОБЛАСТНОГО БЮДЖЕТА МЕСТНЫМ" w:history="1">
        <w:r>
          <w:rPr>
            <w:color w:val="0000FF"/>
          </w:rPr>
          <w:t>Распределение</w:t>
        </w:r>
      </w:hyperlink>
      <w:r>
        <w:t xml:space="preserve"> субсидий между муниципальными образованиями Иркутской области устанавливается приложением 2 к Положению.</w:t>
      </w:r>
    </w:p>
    <w:p w:rsidR="00D03308" w:rsidRDefault="00D03308" w:rsidP="00D03308">
      <w:pPr>
        <w:pStyle w:val="ConsPlusNormal"/>
        <w:ind w:firstLine="540"/>
        <w:jc w:val="both"/>
      </w:pPr>
      <w:r>
        <w:t>Субсидия предоставляется на основании соглашения о предоставлении субсидии, заключенного между Министерством и органом местного самоуправления муниципального образования Иркутской области, в отношении которого принято решение о предоставлении субсидии, по форме, утвержденной правовым актом Министерства (далее - соглашение).</w:t>
      </w:r>
    </w:p>
    <w:p w:rsidR="00D03308" w:rsidRDefault="00D03308" w:rsidP="00D03308">
      <w:pPr>
        <w:pStyle w:val="ConsPlusNormal"/>
        <w:ind w:firstLine="540"/>
        <w:jc w:val="both"/>
      </w:pPr>
      <w:r>
        <w:t>В случае строительства и (или) реконструкции жилых помещений для заключения соглашения орган местного самоуправления муниципального образования Иркутской области представляет в Министерство следующие документы:</w:t>
      </w:r>
    </w:p>
    <w:p w:rsidR="00D03308" w:rsidRDefault="00D03308" w:rsidP="00D03308">
      <w:pPr>
        <w:pStyle w:val="ConsPlusNormal"/>
        <w:ind w:firstLine="540"/>
        <w:jc w:val="both"/>
      </w:pPr>
      <w:r>
        <w:t>1) документы об утверждении проектной документации в соответствии с законодательством 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D03308" w:rsidRDefault="00D03308" w:rsidP="00D03308">
      <w:pPr>
        <w:pStyle w:val="ConsPlusNormal"/>
        <w:ind w:firstLine="540"/>
        <w:jc w:val="both"/>
      </w:pPr>
      <w:r>
        <w:t>2) копия положительного заключения о достоверности сметной стоимости объекта капитального строительства (в случае если в соответствии с законодательством Российской Федерации подготовка заключения является обязательной).</w:t>
      </w:r>
    </w:p>
    <w:p w:rsidR="00D03308" w:rsidRDefault="00D03308" w:rsidP="00D03308">
      <w:pPr>
        <w:pStyle w:val="ConsPlusNormal"/>
        <w:ind w:firstLine="540"/>
        <w:jc w:val="both"/>
      </w:pPr>
      <w:r>
        <w:t>Орган местного самоуправления муниципального образования Иркутской области представляет в Министерство отчет об использовании субсидии по форме и в сроки, установленные в соглашении.</w:t>
      </w:r>
    </w:p>
    <w:p w:rsidR="00D03308" w:rsidRDefault="00D03308" w:rsidP="00D0330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субсидии в пределах своей компетенции осуществляют </w:t>
      </w:r>
      <w:r>
        <w:rPr>
          <w:szCs w:val="28"/>
        </w:rPr>
        <w:t>Администрация,</w:t>
      </w:r>
      <w:r>
        <w:t xml:space="preserve"> Министерство и иные уполномоченные органы.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00"/>
      </w:pP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00"/>
      </w:pP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00"/>
      </w:pP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0"/>
      </w:pPr>
      <w:r>
        <w:t xml:space="preserve">Глава </w:t>
      </w:r>
      <w:proofErr w:type="spellStart"/>
      <w:r>
        <w:t>Новоудинского</w:t>
      </w:r>
      <w:proofErr w:type="spellEnd"/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0"/>
      </w:pPr>
      <w:r>
        <w:t xml:space="preserve">муниципального образования                                                         Г.А. </w:t>
      </w:r>
      <w:proofErr w:type="spellStart"/>
      <w:r>
        <w:t>Бакляк</w:t>
      </w:r>
      <w:proofErr w:type="spellEnd"/>
      <w:r>
        <w:t xml:space="preserve">     </w:t>
      </w: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0"/>
      </w:pP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700"/>
        <w:sectPr w:rsidR="00D03308" w:rsidSect="00F45854">
          <w:pgSz w:w="11900" w:h="16840"/>
          <w:pgMar w:top="709" w:right="591" w:bottom="567" w:left="1595" w:header="0" w:footer="3" w:gutter="0"/>
          <w:cols w:space="720"/>
          <w:noEndnote/>
          <w:docGrid w:linePitch="360"/>
        </w:sectPr>
      </w:pPr>
    </w:p>
    <w:p w:rsidR="00D03308" w:rsidRDefault="00D03308" w:rsidP="00D03308">
      <w:pPr>
        <w:rPr>
          <w:sz w:val="2"/>
          <w:szCs w:val="2"/>
        </w:rPr>
        <w:sectPr w:rsidR="00D03308">
          <w:type w:val="continuous"/>
          <w:pgSz w:w="11900" w:h="16840"/>
          <w:pgMar w:top="1120" w:right="553" w:bottom="1120" w:left="1675" w:header="0" w:footer="3" w:gutter="0"/>
          <w:cols w:space="720"/>
          <w:noEndnote/>
          <w:docGrid w:linePitch="360"/>
        </w:sectPr>
      </w:pPr>
    </w:p>
    <w:p w:rsidR="00D03308" w:rsidRPr="00DA68C5" w:rsidRDefault="00D03308" w:rsidP="00D03308">
      <w:pPr>
        <w:pStyle w:val="20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DA68C5">
        <w:rPr>
          <w:b/>
        </w:rPr>
        <w:lastRenderedPageBreak/>
        <w:t xml:space="preserve">Реестр </w:t>
      </w:r>
    </w:p>
    <w:p w:rsidR="00D03308" w:rsidRPr="00DA68C5" w:rsidRDefault="00D03308" w:rsidP="00D03308">
      <w:pPr>
        <w:pStyle w:val="20"/>
        <w:shd w:val="clear" w:color="auto" w:fill="auto"/>
        <w:spacing w:after="0" w:line="240" w:lineRule="auto"/>
        <w:ind w:firstLine="0"/>
        <w:jc w:val="center"/>
      </w:pPr>
      <w:r w:rsidRPr="00DA68C5">
        <w:t xml:space="preserve">аварийных жилых домов </w:t>
      </w:r>
      <w:proofErr w:type="spellStart"/>
      <w:r w:rsidRPr="00DA68C5">
        <w:t>Новоудинского</w:t>
      </w:r>
      <w:proofErr w:type="spellEnd"/>
      <w:r w:rsidRPr="00DA68C5">
        <w:t xml:space="preserve"> муниципального образования, признанных таковыми до 1 января 2012 года</w:t>
      </w:r>
    </w:p>
    <w:p w:rsidR="00D03308" w:rsidRPr="00DA68C5" w:rsidRDefault="00D03308" w:rsidP="00D03308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821"/>
        <w:gridCol w:w="1276"/>
        <w:gridCol w:w="1276"/>
        <w:gridCol w:w="1276"/>
        <w:gridCol w:w="1701"/>
        <w:gridCol w:w="2835"/>
        <w:gridCol w:w="1134"/>
        <w:gridCol w:w="1559"/>
      </w:tblGrid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A68C5">
              <w:rPr>
                <w:rFonts w:ascii="Times New Roman" w:hAnsi="Times New Roman" w:cs="Times New Roman"/>
              </w:rPr>
              <w:t>п</w:t>
            </w:r>
            <w:proofErr w:type="gramStart"/>
            <w:r w:rsidRPr="00DA68C5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Адрес дома</w:t>
            </w:r>
          </w:p>
        </w:tc>
        <w:tc>
          <w:tcPr>
            <w:tcW w:w="1276" w:type="dxa"/>
            <w:vAlign w:val="center"/>
          </w:tcPr>
          <w:p w:rsidR="00D03308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 xml:space="preserve">Год 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1276" w:type="dxa"/>
            <w:vAlign w:val="center"/>
          </w:tcPr>
          <w:p w:rsidR="00D03308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03308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износа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Общая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площадь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(кв</w:t>
            </w:r>
            <w:proofErr w:type="gramStart"/>
            <w:r w:rsidRPr="00DA68C5">
              <w:rPr>
                <w:rFonts w:ascii="Times New Roman" w:hAnsi="Times New Roman" w:cs="Times New Roman"/>
              </w:rPr>
              <w:t>.м</w:t>
            </w:r>
            <w:proofErr w:type="gramEnd"/>
            <w:r w:rsidRPr="00DA68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Кол-во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семей/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Номер, дата акта и заключения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 признании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 xml:space="preserve">жилого дома </w:t>
            </w:r>
            <w:proofErr w:type="gramStart"/>
            <w:r w:rsidRPr="00DA68C5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Вид</w:t>
            </w:r>
          </w:p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8C5">
              <w:rPr>
                <w:rFonts w:ascii="Times New Roman" w:hAnsi="Times New Roman" w:cs="Times New Roman"/>
              </w:rPr>
              <w:t>собстве</w:t>
            </w:r>
            <w:proofErr w:type="gramStart"/>
            <w:r w:rsidRPr="00DA68C5">
              <w:rPr>
                <w:rFonts w:ascii="Times New Roman" w:hAnsi="Times New Roman" w:cs="Times New Roman"/>
              </w:rPr>
              <w:t>н</w:t>
            </w:r>
            <w:proofErr w:type="spellEnd"/>
            <w:r w:rsidRPr="00DA68C5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C5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08" w:right="-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68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D03308" w:rsidRPr="00DA68C5" w:rsidRDefault="00D03308" w:rsidP="002C4BB0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3"/>
                <w:szCs w:val="23"/>
              </w:rPr>
              <w:t>расселения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с Новая 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Мира,60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6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12.04.2011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с Новая 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Советская,1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4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29.03.2011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с Новая 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Мира,62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6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12.04.2011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proofErr w:type="spellStart"/>
            <w:r w:rsidRPr="00DA68C5">
              <w:rPr>
                <w:rFonts w:ascii="Times New Roman" w:hAnsi="Times New Roman" w:cs="Times New Roman"/>
              </w:rPr>
              <w:t>д</w:t>
            </w:r>
            <w:proofErr w:type="spellEnd"/>
            <w:r w:rsidRPr="00DA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C5">
              <w:rPr>
                <w:rFonts w:ascii="Times New Roman" w:hAnsi="Times New Roman" w:cs="Times New Roman"/>
              </w:rPr>
              <w:t>Усть-Малой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Лесная,2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7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13.04.2011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proofErr w:type="spellStart"/>
            <w:r w:rsidRPr="00DA68C5">
              <w:rPr>
                <w:rFonts w:ascii="Times New Roman" w:hAnsi="Times New Roman" w:cs="Times New Roman"/>
              </w:rPr>
              <w:t>д</w:t>
            </w:r>
            <w:proofErr w:type="spellEnd"/>
            <w:r w:rsidRPr="00DA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C5">
              <w:rPr>
                <w:rFonts w:ascii="Times New Roman" w:hAnsi="Times New Roman" w:cs="Times New Roman"/>
              </w:rPr>
              <w:t>Усть-Малой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Лесная,1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7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13.04.2011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proofErr w:type="spellStart"/>
            <w:r w:rsidRPr="00DA68C5">
              <w:rPr>
                <w:rFonts w:ascii="Times New Roman" w:hAnsi="Times New Roman" w:cs="Times New Roman"/>
              </w:rPr>
              <w:t>д</w:t>
            </w:r>
            <w:proofErr w:type="spellEnd"/>
            <w:r w:rsidRPr="00DA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C5">
              <w:rPr>
                <w:rFonts w:ascii="Times New Roman" w:hAnsi="Times New Roman" w:cs="Times New Roman"/>
              </w:rPr>
              <w:t>Усть-Малой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Лесная,9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. № 7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13.04.2011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rPr>
                <w:rFonts w:ascii="Times New Roman" w:hAnsi="Times New Roman" w:cs="Times New Roman"/>
              </w:rPr>
            </w:pPr>
            <w:proofErr w:type="spellStart"/>
            <w:r w:rsidRPr="00DA68C5">
              <w:rPr>
                <w:rFonts w:ascii="Times New Roman" w:hAnsi="Times New Roman" w:cs="Times New Roman"/>
              </w:rPr>
              <w:t>д</w:t>
            </w:r>
            <w:proofErr w:type="spellEnd"/>
            <w:r w:rsidRPr="00DA6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C5">
              <w:rPr>
                <w:rFonts w:ascii="Times New Roman" w:hAnsi="Times New Roman" w:cs="Times New Roman"/>
              </w:rPr>
              <w:t>Усть-Малой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A68C5">
              <w:rPr>
                <w:rFonts w:ascii="Times New Roman" w:hAnsi="Times New Roman" w:cs="Times New Roman"/>
              </w:rPr>
              <w:t xml:space="preserve"> Лесная,3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№ 7</w:t>
            </w:r>
          </w:p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</w:rPr>
              <w:t>от 13.04.2011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8C5"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  <w:r w:rsidRPr="00DA68C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D03308" w:rsidRPr="00DA68C5" w:rsidTr="002C4BB0">
        <w:tc>
          <w:tcPr>
            <w:tcW w:w="573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Align w:val="center"/>
          </w:tcPr>
          <w:p w:rsidR="00D03308" w:rsidRPr="00DA68C5" w:rsidRDefault="00D03308" w:rsidP="002C4BB0">
            <w:pPr>
              <w:ind w:left="-14" w:right="-61"/>
              <w:jc w:val="right"/>
              <w:rPr>
                <w:rFonts w:ascii="Times New Roman" w:hAnsi="Times New Roman" w:cs="Times New Roman"/>
                <w:b/>
              </w:rPr>
            </w:pPr>
            <w:r w:rsidRPr="00DA68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  <w:r w:rsidRPr="00DA68C5"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tcW w:w="1701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  <w:r w:rsidRPr="00DA68C5">
              <w:rPr>
                <w:rFonts w:ascii="Times New Roman" w:hAnsi="Times New Roman" w:cs="Times New Roman"/>
                <w:b/>
              </w:rPr>
              <w:t>14</w:t>
            </w:r>
            <w:r w:rsidRPr="00DA68C5">
              <w:rPr>
                <w:rFonts w:ascii="Times New Roman" w:hAnsi="Times New Roman" w:cs="Times New Roman"/>
                <w:b/>
                <w:lang w:val="en-US"/>
              </w:rPr>
              <w:t>/38</w:t>
            </w:r>
          </w:p>
        </w:tc>
        <w:tc>
          <w:tcPr>
            <w:tcW w:w="2835" w:type="dxa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3308" w:rsidRPr="00DA68C5" w:rsidRDefault="00D03308" w:rsidP="002C4BB0">
            <w:pPr>
              <w:ind w:left="-14" w:right="-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03308" w:rsidRPr="00DA68C5" w:rsidRDefault="00D03308" w:rsidP="002C4BB0">
            <w:pPr>
              <w:ind w:left="-149" w:right="-6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3308" w:rsidRPr="00DA68C5" w:rsidRDefault="00D03308" w:rsidP="00D03308">
      <w:pPr>
        <w:jc w:val="center"/>
        <w:rPr>
          <w:rFonts w:ascii="Times New Roman" w:hAnsi="Times New Roman" w:cs="Times New Roman"/>
        </w:rPr>
      </w:pPr>
    </w:p>
    <w:p w:rsidR="00D03308" w:rsidRPr="00DA68C5" w:rsidRDefault="00D03308" w:rsidP="00D03308">
      <w:pPr>
        <w:pStyle w:val="2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</w:p>
    <w:p w:rsidR="00D03308" w:rsidRDefault="00D03308" w:rsidP="00D03308">
      <w:pPr>
        <w:pStyle w:val="20"/>
        <w:shd w:val="clear" w:color="auto" w:fill="auto"/>
        <w:spacing w:after="0" w:line="320" w:lineRule="exact"/>
        <w:ind w:firstLine="0"/>
      </w:pPr>
      <w:r>
        <w:t xml:space="preserve">Глава </w:t>
      </w:r>
      <w:proofErr w:type="spellStart"/>
      <w:r>
        <w:t>Новоудинского</w:t>
      </w:r>
      <w:proofErr w:type="spellEnd"/>
    </w:p>
    <w:p w:rsidR="009549AF" w:rsidRDefault="00D03308" w:rsidP="00D03308">
      <w:r>
        <w:t xml:space="preserve">муниципального образования                                             Г.А. </w:t>
      </w:r>
      <w:proofErr w:type="spellStart"/>
      <w:r>
        <w:t>Бакляк</w:t>
      </w:r>
      <w:proofErr w:type="spellEnd"/>
      <w:r>
        <w:t xml:space="preserve">     </w:t>
      </w:r>
    </w:p>
    <w:sectPr w:rsidR="009549AF" w:rsidSect="0095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A81451"/>
    <w:multiLevelType w:val="multilevel"/>
    <w:tmpl w:val="551A2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97EA0"/>
    <w:multiLevelType w:val="multilevel"/>
    <w:tmpl w:val="2FF07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08"/>
    <w:rsid w:val="009549AF"/>
    <w:rsid w:val="00D0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3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308"/>
    <w:rPr>
      <w:color w:val="0066CC"/>
      <w:u w:val="single"/>
    </w:rPr>
  </w:style>
  <w:style w:type="character" w:customStyle="1" w:styleId="2">
    <w:name w:val="Основной текст (2)_"/>
    <w:link w:val="20"/>
    <w:rsid w:val="00D03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D0330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8">
    <w:name w:val="Основной текст (18)_"/>
    <w:link w:val="180"/>
    <w:rsid w:val="00D03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308"/>
    <w:pPr>
      <w:shd w:val="clear" w:color="auto" w:fill="FFFFFF"/>
      <w:spacing w:after="300" w:line="0" w:lineRule="atLeast"/>
      <w:ind w:hanging="1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03308"/>
    <w:pPr>
      <w:shd w:val="clear" w:color="auto" w:fill="FFFFFF"/>
      <w:spacing w:before="342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80">
    <w:name w:val="Основной текст (18)"/>
    <w:basedOn w:val="a"/>
    <w:link w:val="18"/>
    <w:rsid w:val="00D03308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D03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03308"/>
  </w:style>
  <w:style w:type="paragraph" w:styleId="a4">
    <w:name w:val="Normal (Web)"/>
    <w:basedOn w:val="a"/>
    <w:uiPriority w:val="99"/>
    <w:rsid w:val="00D033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CB48238F36F370A77617286CCB1CDFF448C219338AB9031EF4D40BF3824C20A5E531B6448EDBEFC84BF50t5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FE098531C480642BEC952C381A16F81D4E123F178B7963AFB1B4FC5CE7C24E48DD9BD928C22B4kD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2FE098531C480642BEC952C381A16F81D4E123F178B7963AFB1B4FC5kCAEC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3977</Words>
  <Characters>22673</Characters>
  <Application>Microsoft Office Word</Application>
  <DocSecurity>0</DocSecurity>
  <Lines>188</Lines>
  <Paragraphs>53</Paragraphs>
  <ScaleCrop>false</ScaleCrop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2016-12-23T01:00:00Z</dcterms:created>
  <dcterms:modified xsi:type="dcterms:W3CDTF">2016-12-23T01:01:00Z</dcterms:modified>
</cp:coreProperties>
</file>