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D" w:rsidRDefault="001C129D" w:rsidP="0041446E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1C129D" w:rsidRDefault="001C129D" w:rsidP="0041446E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ИРКУТСКАЯ ОБЛАСТЬ</w:t>
      </w:r>
    </w:p>
    <w:p w:rsidR="001C129D" w:rsidRDefault="001C129D" w:rsidP="0041446E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УСТЬ-УДИНСКИЙ РАЙОН</w:t>
      </w:r>
    </w:p>
    <w:p w:rsidR="0041446E" w:rsidRDefault="0041446E" w:rsidP="0041446E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НОВОУДИНСКОЕ</w:t>
      </w:r>
    </w:p>
    <w:p w:rsidR="001C129D" w:rsidRDefault="001C129D" w:rsidP="0041446E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</w:t>
      </w:r>
    </w:p>
    <w:p w:rsidR="001C129D" w:rsidRDefault="001C129D" w:rsidP="0041446E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41446E" w:rsidRDefault="0041446E" w:rsidP="0041446E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1C129D" w:rsidRDefault="001C129D" w:rsidP="0041446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1C129D" w:rsidRPr="00F43F7D" w:rsidRDefault="0041446E" w:rsidP="001C129D">
      <w:pPr>
        <w:pStyle w:val="a3"/>
        <w:rPr>
          <w:color w:val="000000"/>
        </w:rPr>
      </w:pPr>
      <w:r w:rsidRPr="00F43F7D">
        <w:rPr>
          <w:color w:val="000000"/>
        </w:rPr>
        <w:t xml:space="preserve">от «25»  февраля </w:t>
      </w:r>
      <w:r w:rsidR="001C129D" w:rsidRPr="00F43F7D">
        <w:rPr>
          <w:color w:val="000000"/>
        </w:rPr>
        <w:t>202</w:t>
      </w:r>
      <w:r w:rsidRPr="00F43F7D">
        <w:rPr>
          <w:color w:val="000000"/>
        </w:rPr>
        <w:t>2</w:t>
      </w:r>
      <w:r w:rsidR="001C129D" w:rsidRPr="00F43F7D">
        <w:rPr>
          <w:color w:val="000000"/>
        </w:rPr>
        <w:t xml:space="preserve"> года </w:t>
      </w:r>
      <w:r w:rsidRPr="00F43F7D">
        <w:rPr>
          <w:color w:val="000000"/>
        </w:rPr>
        <w:t xml:space="preserve">                                                                   № 15</w:t>
      </w:r>
    </w:p>
    <w:p w:rsidR="001C129D" w:rsidRPr="00F43F7D" w:rsidRDefault="0041446E" w:rsidP="001C129D">
      <w:pPr>
        <w:pStyle w:val="a3"/>
        <w:rPr>
          <w:color w:val="000000"/>
        </w:rPr>
      </w:pPr>
      <w:proofErr w:type="gramStart"/>
      <w:r w:rsidRPr="00F43F7D">
        <w:rPr>
          <w:color w:val="000000"/>
        </w:rPr>
        <w:t xml:space="preserve">с. Новая Уда </w:t>
      </w:r>
      <w:proofErr w:type="gramEnd"/>
    </w:p>
    <w:p w:rsidR="0041446E" w:rsidRPr="00F43F7D" w:rsidRDefault="00EA67ED" w:rsidP="001C129D">
      <w:pPr>
        <w:pStyle w:val="a3"/>
        <w:contextualSpacing/>
        <w:rPr>
          <w:color w:val="000000"/>
        </w:rPr>
      </w:pPr>
      <w:r w:rsidRPr="00F43F7D">
        <w:rPr>
          <w:color w:val="000000"/>
        </w:rPr>
        <w:t xml:space="preserve"> Утвер</w:t>
      </w:r>
      <w:r w:rsidR="00EF4CCD">
        <w:rPr>
          <w:color w:val="000000"/>
        </w:rPr>
        <w:t>ждение</w:t>
      </w:r>
      <w:r w:rsidR="0041446E" w:rsidRPr="00F43F7D">
        <w:rPr>
          <w:color w:val="000000"/>
        </w:rPr>
        <w:t xml:space="preserve"> муниципальн</w:t>
      </w:r>
      <w:r w:rsidR="00EF4CCD">
        <w:rPr>
          <w:color w:val="000000"/>
        </w:rPr>
        <w:t>ой</w:t>
      </w:r>
      <w:r w:rsidR="0041446E" w:rsidRPr="00F43F7D">
        <w:rPr>
          <w:color w:val="000000"/>
        </w:rPr>
        <w:t xml:space="preserve"> программ</w:t>
      </w:r>
      <w:r w:rsidR="00EF4CCD">
        <w:rPr>
          <w:color w:val="000000"/>
        </w:rPr>
        <w:t>ы</w:t>
      </w:r>
      <w:r w:rsidR="0041446E" w:rsidRPr="00F43F7D">
        <w:rPr>
          <w:color w:val="000000"/>
        </w:rPr>
        <w:t xml:space="preserve"> </w:t>
      </w:r>
    </w:p>
    <w:p w:rsidR="001C129D" w:rsidRPr="00F43F7D" w:rsidRDefault="0041446E" w:rsidP="0041446E">
      <w:pPr>
        <w:pStyle w:val="a3"/>
        <w:contextualSpacing/>
        <w:rPr>
          <w:color w:val="000000"/>
        </w:rPr>
      </w:pPr>
      <w:r w:rsidRPr="00F43F7D">
        <w:rPr>
          <w:color w:val="000000"/>
        </w:rPr>
        <w:t xml:space="preserve">« Обеспечение пожарной безопасности на территории </w:t>
      </w:r>
      <w:proofErr w:type="spellStart"/>
      <w:r w:rsidRPr="00F43F7D">
        <w:rPr>
          <w:color w:val="000000"/>
        </w:rPr>
        <w:t>Новоудинского</w:t>
      </w:r>
      <w:proofErr w:type="spellEnd"/>
      <w:r w:rsidRPr="00F43F7D">
        <w:rPr>
          <w:color w:val="000000"/>
        </w:rPr>
        <w:t xml:space="preserve"> муницип</w:t>
      </w:r>
      <w:r w:rsidR="00F43F7D">
        <w:rPr>
          <w:color w:val="000000"/>
        </w:rPr>
        <w:t>ального образования на 2022-2025</w:t>
      </w:r>
      <w:r w:rsidRPr="00F43F7D">
        <w:rPr>
          <w:color w:val="000000"/>
        </w:rPr>
        <w:t>годы»</w:t>
      </w:r>
    </w:p>
    <w:p w:rsidR="0041446E" w:rsidRPr="00F43F7D" w:rsidRDefault="0041446E" w:rsidP="0041446E">
      <w:pPr>
        <w:pStyle w:val="a3"/>
        <w:contextualSpacing/>
        <w:rPr>
          <w:color w:val="000000"/>
        </w:rPr>
      </w:pPr>
    </w:p>
    <w:p w:rsidR="001C129D" w:rsidRPr="00F43F7D" w:rsidRDefault="001C129D" w:rsidP="001C129D">
      <w:pPr>
        <w:pStyle w:val="a3"/>
        <w:rPr>
          <w:color w:val="000000"/>
        </w:rPr>
      </w:pPr>
      <w:r w:rsidRPr="00F43F7D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РФ от 16.09.2020 N 1479 (ред. от 31.12.2020) «Об утверждении Правил противопожарного режима в Российской Федерации», р</w:t>
      </w:r>
      <w:r w:rsidR="0041446E" w:rsidRPr="00F43F7D">
        <w:rPr>
          <w:color w:val="000000"/>
        </w:rPr>
        <w:t xml:space="preserve">уководствуясь Уставом  </w:t>
      </w:r>
      <w:proofErr w:type="spellStart"/>
      <w:r w:rsidR="0041446E" w:rsidRPr="00F43F7D">
        <w:rPr>
          <w:color w:val="000000"/>
        </w:rPr>
        <w:t>Новоудинского</w:t>
      </w:r>
      <w:proofErr w:type="spellEnd"/>
      <w:r w:rsidR="0041446E" w:rsidRPr="00F43F7D">
        <w:rPr>
          <w:color w:val="000000"/>
        </w:rPr>
        <w:t xml:space="preserve"> </w:t>
      </w:r>
      <w:r w:rsidRPr="00F43F7D">
        <w:rPr>
          <w:color w:val="000000"/>
        </w:rPr>
        <w:t xml:space="preserve"> муниципального образования,</w:t>
      </w:r>
    </w:p>
    <w:p w:rsidR="001C129D" w:rsidRDefault="001C129D" w:rsidP="00EF4CC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1C129D" w:rsidRPr="00F43F7D" w:rsidRDefault="00EA67ED" w:rsidP="00EA67ED">
      <w:pPr>
        <w:pStyle w:val="a3"/>
        <w:numPr>
          <w:ilvl w:val="0"/>
          <w:numId w:val="1"/>
        </w:numPr>
        <w:rPr>
          <w:color w:val="000000"/>
        </w:rPr>
      </w:pPr>
      <w:r w:rsidRPr="00F43F7D">
        <w:rPr>
          <w:color w:val="000000"/>
        </w:rPr>
        <w:t xml:space="preserve">Утвердить </w:t>
      </w:r>
      <w:r w:rsidR="001C129D" w:rsidRPr="00F43F7D">
        <w:rPr>
          <w:color w:val="000000"/>
        </w:rPr>
        <w:t>муниципальную программу «Обеспечение пожарной безоп</w:t>
      </w:r>
      <w:r w:rsidR="0041446E" w:rsidRPr="00F43F7D">
        <w:rPr>
          <w:color w:val="000000"/>
        </w:rPr>
        <w:t xml:space="preserve">асности на территории </w:t>
      </w:r>
      <w:proofErr w:type="spellStart"/>
      <w:r w:rsidR="0041446E" w:rsidRPr="00F43F7D">
        <w:rPr>
          <w:color w:val="000000"/>
        </w:rPr>
        <w:t>Новоудинского</w:t>
      </w:r>
      <w:proofErr w:type="spellEnd"/>
      <w:r w:rsidR="0041446E" w:rsidRPr="00F43F7D">
        <w:rPr>
          <w:color w:val="000000"/>
        </w:rPr>
        <w:t xml:space="preserve">  муниципаль</w:t>
      </w:r>
      <w:r w:rsidR="00F43F7D">
        <w:rPr>
          <w:color w:val="000000"/>
        </w:rPr>
        <w:t>ного образования  на 2022 – 2025</w:t>
      </w:r>
      <w:r w:rsidR="001C129D" w:rsidRPr="00F43F7D">
        <w:rPr>
          <w:color w:val="000000"/>
        </w:rPr>
        <w:t>годы», (дале</w:t>
      </w:r>
      <w:proofErr w:type="gramStart"/>
      <w:r w:rsidR="001C129D" w:rsidRPr="00F43F7D">
        <w:rPr>
          <w:color w:val="000000"/>
        </w:rPr>
        <w:t>е-</w:t>
      </w:r>
      <w:proofErr w:type="gramEnd"/>
      <w:r w:rsidR="001C129D" w:rsidRPr="00F43F7D">
        <w:rPr>
          <w:color w:val="000000"/>
        </w:rPr>
        <w:t xml:space="preserve"> муниципальная программа) </w:t>
      </w:r>
    </w:p>
    <w:p w:rsidR="00EA67ED" w:rsidRDefault="00EA67ED" w:rsidP="00EA67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7D">
        <w:rPr>
          <w:rFonts w:ascii="Times New Roman" w:hAnsi="Times New Roman" w:cs="Times New Roman"/>
          <w:sz w:val="24"/>
          <w:szCs w:val="24"/>
        </w:rPr>
        <w:t xml:space="preserve">Финансовому </w:t>
      </w:r>
      <w:r w:rsidR="00F43F7D" w:rsidRPr="00F43F7D">
        <w:rPr>
          <w:rFonts w:ascii="Times New Roman" w:hAnsi="Times New Roman" w:cs="Times New Roman"/>
          <w:sz w:val="24"/>
          <w:szCs w:val="24"/>
        </w:rPr>
        <w:t xml:space="preserve">отделу администрации </w:t>
      </w:r>
      <w:proofErr w:type="spellStart"/>
      <w:r w:rsidR="00F43F7D" w:rsidRPr="00F43F7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43F7D" w:rsidRPr="00F43F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</w:t>
      </w:r>
      <w:proofErr w:type="spellStart"/>
      <w:r w:rsidR="00F43F7D" w:rsidRPr="00F43F7D">
        <w:rPr>
          <w:rFonts w:ascii="Times New Roman" w:hAnsi="Times New Roman" w:cs="Times New Roman"/>
          <w:sz w:val="24"/>
          <w:szCs w:val="24"/>
        </w:rPr>
        <w:t>Кармаза</w:t>
      </w:r>
      <w:proofErr w:type="spellEnd"/>
      <w:r w:rsidR="00F43F7D" w:rsidRPr="00F43F7D">
        <w:rPr>
          <w:rFonts w:ascii="Times New Roman" w:hAnsi="Times New Roman" w:cs="Times New Roman"/>
          <w:sz w:val="24"/>
          <w:szCs w:val="24"/>
        </w:rPr>
        <w:t xml:space="preserve"> Е.Г.</w:t>
      </w:r>
      <w:r w:rsidRPr="00F43F7D">
        <w:rPr>
          <w:rFonts w:ascii="Times New Roman" w:hAnsi="Times New Roman" w:cs="Times New Roman"/>
          <w:sz w:val="24"/>
          <w:szCs w:val="24"/>
        </w:rPr>
        <w:t>) ежегодно при формировании расходной части местного бюджета  предусматривать  выделение  ассигнований  на  реализацию мероприятий муниципальной программы «Обеспечение пожарной безопас</w:t>
      </w:r>
      <w:r w:rsidR="00F43F7D" w:rsidRPr="00F43F7D">
        <w:rPr>
          <w:rFonts w:ascii="Times New Roman" w:hAnsi="Times New Roman" w:cs="Times New Roman"/>
          <w:sz w:val="24"/>
          <w:szCs w:val="24"/>
        </w:rPr>
        <w:t xml:space="preserve">ности на территории </w:t>
      </w:r>
      <w:proofErr w:type="spellStart"/>
      <w:r w:rsidR="00F43F7D" w:rsidRPr="00F43F7D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F43F7D" w:rsidRPr="00F43F7D">
        <w:rPr>
          <w:rFonts w:ascii="Times New Roman" w:hAnsi="Times New Roman" w:cs="Times New Roman"/>
          <w:sz w:val="24"/>
          <w:szCs w:val="24"/>
        </w:rPr>
        <w:t xml:space="preserve"> </w:t>
      </w:r>
      <w:r w:rsidRPr="00F43F7D">
        <w:rPr>
          <w:rFonts w:ascii="Times New Roman" w:hAnsi="Times New Roman" w:cs="Times New Roman"/>
          <w:sz w:val="24"/>
          <w:szCs w:val="24"/>
        </w:rPr>
        <w:t>муниципального образования на 2022</w:t>
      </w:r>
      <w:r w:rsidR="00F43F7D">
        <w:rPr>
          <w:rFonts w:ascii="Times New Roman" w:hAnsi="Times New Roman" w:cs="Times New Roman"/>
          <w:sz w:val="24"/>
          <w:szCs w:val="24"/>
        </w:rPr>
        <w:t>-2025</w:t>
      </w:r>
      <w:r w:rsidRPr="00F43F7D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A67ED" w:rsidRPr="004B090E" w:rsidRDefault="00EA67ED" w:rsidP="004B09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90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муниципально</w:t>
      </w:r>
      <w:r w:rsidR="00F43F7D">
        <w:t>м информационном источнике  «</w:t>
      </w:r>
      <w:proofErr w:type="spellStart"/>
      <w:r w:rsidR="00F43F7D">
        <w:t>Новоудинские</w:t>
      </w:r>
      <w:proofErr w:type="spellEnd"/>
      <w:r w:rsidR="00F43F7D">
        <w:t xml:space="preserve"> вести  </w:t>
      </w:r>
      <w:r w:rsidRPr="004B090E">
        <w:rPr>
          <w:rFonts w:ascii="Times New Roman" w:hAnsi="Times New Roman" w:cs="Times New Roman"/>
          <w:sz w:val="24"/>
          <w:szCs w:val="24"/>
        </w:rPr>
        <w:t>» и размещению на официальном</w:t>
      </w:r>
      <w:r w:rsidR="00F43F7D">
        <w:t xml:space="preserve"> сайте администрации  </w:t>
      </w:r>
      <w:proofErr w:type="spellStart"/>
      <w:r w:rsidR="00F43F7D">
        <w:t>Новоудинского</w:t>
      </w:r>
      <w:proofErr w:type="spellEnd"/>
      <w:r w:rsidR="00F43F7D">
        <w:t xml:space="preserve"> </w:t>
      </w:r>
      <w:r w:rsidRPr="004B090E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F43F7D">
        <w:t xml:space="preserve"> </w:t>
      </w:r>
      <w:hyperlink r:id="rId5" w:tgtFrame="_blank" w:history="1">
        <w:r w:rsidR="004B090E" w:rsidRPr="004B090E">
          <w:rPr>
            <w:rStyle w:val="a5"/>
            <w:sz w:val="28"/>
            <w:szCs w:val="28"/>
          </w:rPr>
          <w:t>http://новоудинское.рф/</w:t>
        </w:r>
      </w:hyperlink>
    </w:p>
    <w:p w:rsidR="00EA67ED" w:rsidRDefault="00EA67ED" w:rsidP="00F43F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F7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3F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F7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F43F7D" w:rsidRDefault="00F43F7D" w:rsidP="004B090E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F43F7D" w:rsidRDefault="00F43F7D" w:rsidP="004B0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9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F7D" w:rsidRDefault="00F43F7D" w:rsidP="00F43F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90E" w:rsidRDefault="004B090E" w:rsidP="00F43F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90E" w:rsidRDefault="004B090E" w:rsidP="00F43F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F7D" w:rsidRDefault="00F43F7D" w:rsidP="00F43F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F7D" w:rsidRDefault="00F43F7D" w:rsidP="00F43F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F43F7D" w:rsidRDefault="00F43F7D" w:rsidP="00F43F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  </w:t>
      </w:r>
    </w:p>
    <w:p w:rsidR="00F43F7D" w:rsidRDefault="00F43F7D" w:rsidP="00F43F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43F7D" w:rsidRDefault="00F43F7D" w:rsidP="00F43F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</w:t>
      </w:r>
    </w:p>
    <w:p w:rsidR="00F43F7D" w:rsidRDefault="00F43F7D" w:rsidP="00F43F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 от 25.02.2022г.</w:t>
      </w:r>
    </w:p>
    <w:p w:rsidR="00F43F7D" w:rsidRPr="00F43F7D" w:rsidRDefault="00F43F7D" w:rsidP="00F43F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67ED" w:rsidRPr="00C17A41" w:rsidRDefault="00EA67ED" w:rsidP="00EA67ED">
      <w:pPr>
        <w:ind w:left="993" w:firstLine="423"/>
        <w:jc w:val="center"/>
      </w:pPr>
      <w:r w:rsidRPr="00C17A41">
        <w:t>МУНИЦИПАЛЬНАЯ ПРОГРАММА</w:t>
      </w:r>
    </w:p>
    <w:p w:rsidR="00EA67ED" w:rsidRPr="00C17A41" w:rsidRDefault="00EA67ED" w:rsidP="00EA67ED">
      <w:pPr>
        <w:ind w:left="993" w:firstLine="423"/>
        <w:jc w:val="center"/>
      </w:pPr>
      <w:r w:rsidRPr="00C17A41">
        <w:t>ОБЕСПЕЧЕНИЕ ПОЖАРНОЙ БЕЗОПАСНОСТИ НА ТЕРРИТОРИИ НОВОУДИНСКОГО МУ</w:t>
      </w:r>
      <w:r>
        <w:t>НИЦИП</w:t>
      </w:r>
      <w:r w:rsidR="00F43F7D">
        <w:t>АЛЬНОГО ОБРАЗОВАНИЯ НА 2022-2025</w:t>
      </w:r>
      <w:r>
        <w:t xml:space="preserve"> </w:t>
      </w:r>
      <w:r w:rsidRPr="00C17A41">
        <w:t>ГОДЫ.</w:t>
      </w:r>
    </w:p>
    <w:p w:rsidR="00EA67ED" w:rsidRPr="00C17A41" w:rsidRDefault="00EA67ED" w:rsidP="00EA67ED">
      <w:pPr>
        <w:ind w:left="720"/>
        <w:jc w:val="center"/>
      </w:pPr>
    </w:p>
    <w:tbl>
      <w:tblPr>
        <w:tblW w:w="9807" w:type="dxa"/>
        <w:jc w:val="center"/>
        <w:tblCellSpacing w:w="0" w:type="dxa"/>
        <w:tblInd w:w="-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0"/>
        <w:gridCol w:w="6427"/>
      </w:tblGrid>
      <w:tr w:rsidR="00EA67ED" w:rsidRPr="00C17A41" w:rsidTr="00161B54">
        <w:trPr>
          <w:trHeight w:val="205"/>
          <w:tblCellSpacing w:w="0" w:type="dxa"/>
          <w:jc w:val="center"/>
        </w:trPr>
        <w:tc>
          <w:tcPr>
            <w:tcW w:w="9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ПАСПОРТ ПРОГРАММЫ</w:t>
            </w:r>
          </w:p>
        </w:tc>
      </w:tr>
      <w:tr w:rsidR="00EA67ED" w:rsidRPr="00C17A41" w:rsidTr="00161B54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Наименование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«Обеспечение пожарной безопасности на территории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</w:t>
            </w:r>
            <w:r>
              <w:rPr>
                <w:rFonts w:eastAsia="Calibri"/>
              </w:rPr>
              <w:t xml:space="preserve"> на 2022-2024</w:t>
            </w:r>
            <w:r w:rsidRPr="00C17A41">
              <w:rPr>
                <w:rFonts w:eastAsia="Calibri"/>
              </w:rPr>
              <w:t>годы»</w:t>
            </w:r>
          </w:p>
        </w:tc>
      </w:tr>
      <w:tr w:rsidR="00EA67ED" w:rsidRPr="00C17A41" w:rsidTr="00161B54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2022-2024</w:t>
            </w:r>
            <w:r w:rsidRPr="00C17A41">
              <w:rPr>
                <w:rFonts w:eastAsia="Calibri"/>
              </w:rPr>
              <w:t xml:space="preserve"> год.</w:t>
            </w:r>
          </w:p>
        </w:tc>
      </w:tr>
      <w:tr w:rsidR="00EA67ED" w:rsidRPr="00C17A41" w:rsidTr="00161B54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Администратор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Администрация 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 муниципального образования</w:t>
            </w:r>
          </w:p>
        </w:tc>
      </w:tr>
      <w:tr w:rsidR="00EA67ED" w:rsidRPr="00C17A41" w:rsidTr="00161B54">
        <w:trPr>
          <w:trHeight w:val="89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Исполнители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t xml:space="preserve">Администрация  </w:t>
            </w:r>
            <w:proofErr w:type="spellStart"/>
            <w:r w:rsidRPr="00C17A41">
              <w:t>Новоудинского</w:t>
            </w:r>
            <w:proofErr w:type="spellEnd"/>
            <w:r w:rsidRPr="00C17A41">
              <w:t xml:space="preserve">  муниципального образования, юридические и физические лица муниципального образования, независимо от организационно - правовой формы собственности, население  </w:t>
            </w:r>
            <w:proofErr w:type="spellStart"/>
            <w:r w:rsidRPr="00C17A41">
              <w:t>Новоудинского</w:t>
            </w:r>
            <w:proofErr w:type="spellEnd"/>
            <w:r w:rsidRPr="00C17A41">
              <w:t xml:space="preserve">  сельского поселения</w:t>
            </w:r>
          </w:p>
        </w:tc>
      </w:tr>
      <w:tr w:rsidR="00EA67ED" w:rsidRPr="00C17A41" w:rsidTr="00161B54">
        <w:trPr>
          <w:trHeight w:val="1552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Перечень подпрограмм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Аналитические подпрограммы: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1.Противопожарная пропаганда и обучение в области пожарной безопасности (информационное обеспечение).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2. Обеспечение противопожарной защиты жилищного фонда, учреждений социальной сферы и защиты населенных пунктов от угроз возникновения лесных пожаров.</w:t>
            </w:r>
          </w:p>
        </w:tc>
      </w:tr>
      <w:tr w:rsidR="00EA67ED" w:rsidRPr="00C17A41" w:rsidTr="00161B54">
        <w:trPr>
          <w:trHeight w:val="567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Основная цель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Основная цель Программы: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предупреждение гибели людей, сбережение материальных ценностей</w:t>
            </w:r>
          </w:p>
        </w:tc>
      </w:tr>
      <w:tr w:rsidR="00EA67ED" w:rsidRPr="00C17A41" w:rsidTr="00161B54">
        <w:trPr>
          <w:trHeight w:val="835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Цели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создание и совершенствование современной нормативной правовой базы обеспечения пожарной безопасности поселения, учитывающей изменения федерального законодательства;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внедрение современных технических средств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пожарной профилактики и пожаротушения;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- повышение защищенности населенных пунктов поселения от угроз возникновения лесных пожаров;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>- повышение защищенности от пожаров жителей поселения, обусловленных бытовыми причинами, за счет развертывания системы профилактики пожаров и повышения активности населения.</w:t>
            </w:r>
          </w:p>
        </w:tc>
      </w:tr>
      <w:tr w:rsidR="00EA67ED" w:rsidRPr="00C17A41" w:rsidTr="00161B54">
        <w:trPr>
          <w:trHeight w:val="1180"/>
          <w:tblCellSpacing w:w="0" w:type="dxa"/>
          <w:jc w:val="center"/>
        </w:trPr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Стоимость программы – </w:t>
            </w:r>
            <w:r>
              <w:rPr>
                <w:rFonts w:eastAsia="Calibri"/>
              </w:rPr>
              <w:t>115</w:t>
            </w:r>
            <w:r w:rsidRPr="00C17A41">
              <w:rPr>
                <w:rFonts w:eastAsia="Calibri"/>
              </w:rPr>
              <w:t>,00 тыс. руб.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2022 – 25</w:t>
            </w:r>
            <w:r w:rsidRPr="00C17A41">
              <w:rPr>
                <w:rFonts w:eastAsia="Calibri"/>
              </w:rPr>
              <w:t>,00 тыс. руб.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2023- 3</w:t>
            </w:r>
            <w:r w:rsidRPr="00C17A41">
              <w:rPr>
                <w:rFonts w:eastAsia="Calibri"/>
              </w:rPr>
              <w:t>0,00 тыс. руб.</w:t>
            </w:r>
          </w:p>
          <w:p w:rsidR="00EA67ED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2024- 3</w:t>
            </w:r>
            <w:r w:rsidRPr="00C17A41">
              <w:rPr>
                <w:rFonts w:eastAsia="Calibri"/>
              </w:rPr>
              <w:t>0,00 тыс. руб.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-2025- 30.00  </w:t>
            </w:r>
            <w:proofErr w:type="spellStart"/>
            <w:proofErr w:type="gramStart"/>
            <w:r>
              <w:rPr>
                <w:rFonts w:eastAsia="Calibri"/>
              </w:rPr>
              <w:t>тыс</w:t>
            </w:r>
            <w:proofErr w:type="spellEnd"/>
            <w:proofErr w:type="gramEnd"/>
            <w:r>
              <w:rPr>
                <w:rFonts w:eastAsia="Calibri"/>
              </w:rPr>
              <w:t xml:space="preserve"> руб.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Источник финансирования – бюджет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образования.</w:t>
            </w:r>
          </w:p>
        </w:tc>
      </w:tr>
    </w:tbl>
    <w:p w:rsidR="00EA67ED" w:rsidRPr="00C17A41" w:rsidRDefault="00EA67ED" w:rsidP="00EA67ED">
      <w:pPr>
        <w:jc w:val="center"/>
        <w:rPr>
          <w:rFonts w:eastAsia="Calibri"/>
          <w:bCs/>
        </w:rPr>
      </w:pPr>
    </w:p>
    <w:p w:rsidR="00EA67ED" w:rsidRPr="00C17A41" w:rsidRDefault="00EA67ED" w:rsidP="00EA67ED">
      <w:pPr>
        <w:pStyle w:val="a4"/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1. СОДЕРЖАНИЕ, ПРОБЛЕМЫ И ОБОСНОВАНИЕ НЕОБХОДИМОСТИ ЕЁ РЕШЕНИЯ</w:t>
      </w:r>
    </w:p>
    <w:p w:rsidR="00EA67ED" w:rsidRPr="00C17A41" w:rsidRDefault="00EA67ED" w:rsidP="00EA67ED">
      <w:pPr>
        <w:pStyle w:val="a4"/>
        <w:jc w:val="center"/>
        <w:rPr>
          <w:rFonts w:eastAsia="Calibri"/>
        </w:rPr>
      </w:pP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Пожарная безопасность </w:t>
      </w:r>
      <w:r w:rsidRPr="00C17A41">
        <w:rPr>
          <w:rFonts w:eastAsia="Calibri"/>
        </w:rPr>
        <w:t>— состояние защищённости личности, имущества, общества и государства от пожаров. Обеспечение пожарной безопасности является одной из важнейших функций государства и органов местного самоуправления.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</w:t>
      </w:r>
      <w:proofErr w:type="spellStart"/>
      <w:r w:rsidRPr="00C17A41">
        <w:rPr>
          <w:rFonts w:eastAsia="Calibri"/>
          <w:bCs/>
        </w:rPr>
        <w:t>Новоудинском</w:t>
      </w:r>
      <w:proofErr w:type="spellEnd"/>
      <w:r w:rsidRPr="00C17A41">
        <w:rPr>
          <w:rFonts w:eastAsia="Calibri"/>
          <w:bCs/>
        </w:rPr>
        <w:t xml:space="preserve">  муниципальном образовании.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Администрацией поселения принимаются все необходимые меры по предупреждению пожаров, повышению спроса с хозяйственных руководителей, активизации разъяснительной работы среди населения.</w:t>
      </w:r>
      <w:r w:rsidRPr="00C17A41">
        <w:t xml:space="preserve"> </w:t>
      </w:r>
      <w:r w:rsidRPr="00C17A41">
        <w:rPr>
          <w:rFonts w:eastAsia="Calibri"/>
          <w:bCs/>
        </w:rPr>
        <w:t>Используются различные формы пропаганды пожарной безопасности, администрацией ежегодно вручаются памятки по пожарной безопасности населению, совместно разработанные с государственной противопожарной службой.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Территория </w:t>
      </w:r>
      <w:proofErr w:type="spellStart"/>
      <w:r w:rsidRPr="00C17A41">
        <w:rPr>
          <w:rFonts w:eastAsia="Calibri"/>
          <w:bCs/>
        </w:rPr>
        <w:t>Новоудинского</w:t>
      </w:r>
      <w:proofErr w:type="spellEnd"/>
      <w:r w:rsidRPr="00C17A41">
        <w:rPr>
          <w:rFonts w:eastAsia="Calibri"/>
          <w:bCs/>
        </w:rPr>
        <w:t xml:space="preserve"> муниципального образования представляет собой территорию преимущественно занятую лесами. Населенными пунктами, имеющими статус населенного пункта, подверженного угрозам лесных пожаров являются: село Новая Уда, деревня  </w:t>
      </w:r>
      <w:proofErr w:type="spellStart"/>
      <w:r w:rsidRPr="00C17A41">
        <w:rPr>
          <w:rFonts w:eastAsia="Calibri"/>
          <w:bCs/>
        </w:rPr>
        <w:t>Усть-Малой</w:t>
      </w:r>
      <w:proofErr w:type="spellEnd"/>
      <w:r w:rsidRPr="00C17A41">
        <w:rPr>
          <w:rFonts w:eastAsia="Calibri"/>
          <w:bCs/>
        </w:rPr>
        <w:t>. Отдаленность  от районного центра 70 км</w:t>
      </w:r>
      <w:proofErr w:type="gramStart"/>
      <w:r w:rsidRPr="00C17A41">
        <w:rPr>
          <w:rFonts w:eastAsia="Calibri"/>
          <w:bCs/>
        </w:rPr>
        <w:t>.</w:t>
      </w:r>
      <w:proofErr w:type="gramEnd"/>
      <w:r w:rsidRPr="00C17A41">
        <w:rPr>
          <w:rFonts w:eastAsia="Calibri"/>
          <w:bCs/>
        </w:rPr>
        <w:t xml:space="preserve"> </w:t>
      </w:r>
      <w:proofErr w:type="gramStart"/>
      <w:r w:rsidRPr="00C17A41">
        <w:rPr>
          <w:rFonts w:eastAsia="Calibri"/>
          <w:bCs/>
        </w:rPr>
        <w:t>и</w:t>
      </w:r>
      <w:proofErr w:type="gramEnd"/>
      <w:r w:rsidRPr="00C17A41">
        <w:rPr>
          <w:rFonts w:eastAsia="Calibri"/>
          <w:bCs/>
        </w:rPr>
        <w:t xml:space="preserve"> 80 км. В связи с вышесказанным, меры противопожарной безопасности (постоянное восстановление минерализованных полос, содержание в исправности техники и противопожарного оборудования), имеет первостепенное значение.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Сложившаяся тревожная ситуация с пожарами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 Будущее положение дел в этой области целиком зависит от отношения органов самоуправления, руководителей учреждений и организаций к решению вопросов обеспечения пожарной безопасности.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lastRenderedPageBreak/>
        <w:t>Принятие неотложных организационных и перспективных практических решений и мер в этой области позволит значительно снизить социальную напряженность, сохранить экономический потенциал поселения, придаст больше уверенности жителям в своей безопасности и защищенности от огня.</w:t>
      </w:r>
    </w:p>
    <w:p w:rsidR="00EA67ED" w:rsidRPr="00C17A41" w:rsidRDefault="00EA67ED" w:rsidP="004B090E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 xml:space="preserve">Муниципальная программа «Обеспечение пожарной безопасности </w:t>
      </w:r>
      <w:proofErr w:type="spellStart"/>
      <w:r w:rsidRPr="00C17A41">
        <w:rPr>
          <w:rFonts w:eastAsia="Calibri"/>
        </w:rPr>
        <w:t>Новоудинского</w:t>
      </w:r>
      <w:proofErr w:type="spellEnd"/>
      <w:r w:rsidRPr="00C17A41">
        <w:rPr>
          <w:rFonts w:eastAsia="Calibri"/>
        </w:rPr>
        <w:t xml:space="preserve"> муниципального образования</w:t>
      </w:r>
      <w:r w:rsidR="004B090E">
        <w:rPr>
          <w:rFonts w:eastAsia="Calibri"/>
        </w:rPr>
        <w:t xml:space="preserve"> на 2022-2025</w:t>
      </w:r>
      <w:r w:rsidRPr="00C17A41">
        <w:rPr>
          <w:rFonts w:eastAsia="Calibri"/>
        </w:rPr>
        <w:t xml:space="preserve"> годы» направлена на повышение защищенности от пожаров жилого сектора поселения и угроз возникновения чрезвычайных ситуаций природного и техногенного характера. Программа является организационной и методической основой для определения и реализации приоритетов в области пожарной безопасности на территории поселения.</w:t>
      </w:r>
    </w:p>
    <w:p w:rsidR="00EA67ED" w:rsidRPr="00C17A41" w:rsidRDefault="00EA67ED" w:rsidP="00EA67ED">
      <w:pPr>
        <w:pStyle w:val="a4"/>
        <w:jc w:val="center"/>
        <w:rPr>
          <w:rFonts w:eastAsia="Calibri"/>
        </w:rPr>
      </w:pPr>
      <w:r w:rsidRPr="00C17A41">
        <w:rPr>
          <w:rFonts w:eastAsia="Calibri"/>
        </w:rPr>
        <w:t>2. ОСНОВНЫЕ ЦЕЛИ, ЗАДАЧИ, СРОКИ И ЭТАПЫ РЕАЛИЗАЦИИ ПРОГРАММЫ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/>
          <w:bCs/>
        </w:rPr>
        <w:t>Основными целями программы являются: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обеспечение пожарной безопасности, защита жизни и здоровья жителей, сохранение материальных ценностей от пожаров и предупреждения угроз возникновения лесных пожаров.</w:t>
      </w:r>
    </w:p>
    <w:p w:rsidR="00EA67ED" w:rsidRPr="00C17A41" w:rsidRDefault="00EA67ED" w:rsidP="00EA67ED">
      <w:pPr>
        <w:ind w:firstLine="709"/>
        <w:jc w:val="both"/>
        <w:rPr>
          <w:rFonts w:eastAsia="Calibri"/>
          <w:b/>
          <w:bCs/>
        </w:rPr>
      </w:pPr>
      <w:r w:rsidRPr="00C17A41">
        <w:rPr>
          <w:rFonts w:eastAsia="Calibri"/>
          <w:b/>
          <w:bCs/>
        </w:rPr>
        <w:t>Для достижения указанных целей необходимо решить следующие задачи: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реализация первоочередных мер по противопожарной защите жилого сектора, учреждений, предприятий и организаций поселения.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>- привлечение широких слоев населения сельского поселения к реализации мер по обеспечению пожарной безопасности.</w:t>
      </w:r>
    </w:p>
    <w:p w:rsidR="00EA67ED" w:rsidRPr="00C17A41" w:rsidRDefault="00EA67ED" w:rsidP="00EA67ED">
      <w:pPr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/>
          <w:bCs/>
        </w:rPr>
        <w:t>Срок реализации Программы</w:t>
      </w:r>
      <w:r w:rsidRPr="00C17A41">
        <w:rPr>
          <w:rFonts w:eastAsia="Calibri"/>
          <w:bCs/>
        </w:rPr>
        <w:t>: 20</w:t>
      </w:r>
      <w:r>
        <w:rPr>
          <w:rFonts w:eastAsia="Calibri"/>
          <w:bCs/>
        </w:rPr>
        <w:t>22 – 2025</w:t>
      </w:r>
      <w:r w:rsidRPr="00C17A41">
        <w:rPr>
          <w:rFonts w:eastAsia="Calibri"/>
          <w:bCs/>
        </w:rPr>
        <w:t xml:space="preserve"> гг.</w:t>
      </w:r>
    </w:p>
    <w:p w:rsidR="00EA67ED" w:rsidRPr="00C17A41" w:rsidRDefault="00EA67ED" w:rsidP="00EA67ED">
      <w:pPr>
        <w:tabs>
          <w:tab w:val="left" w:pos="426"/>
        </w:tabs>
        <w:ind w:firstLine="709"/>
        <w:jc w:val="both"/>
        <w:rPr>
          <w:rFonts w:eastAsia="Calibri"/>
          <w:bCs/>
        </w:rPr>
      </w:pPr>
      <w:r w:rsidRPr="00C17A41">
        <w:rPr>
          <w:rFonts w:eastAsia="Calibri"/>
          <w:b/>
          <w:bCs/>
        </w:rPr>
        <w:t>Этапы реализации Программы</w:t>
      </w:r>
      <w:r w:rsidRPr="00C17A41">
        <w:rPr>
          <w:rFonts w:eastAsia="Calibri"/>
          <w:bCs/>
        </w:rPr>
        <w:t>: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- </w:t>
      </w:r>
      <w:r>
        <w:rPr>
          <w:rFonts w:eastAsia="Calibri"/>
          <w:bCs/>
        </w:rPr>
        <w:t>I этап – 2022</w:t>
      </w:r>
      <w:r w:rsidRPr="00C17A41">
        <w:rPr>
          <w:rFonts w:eastAsia="Calibri"/>
          <w:bCs/>
        </w:rPr>
        <w:t xml:space="preserve"> год;</w:t>
      </w:r>
    </w:p>
    <w:p w:rsidR="00EA67ED" w:rsidRPr="00C17A41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- </w:t>
      </w:r>
      <w:r>
        <w:rPr>
          <w:rFonts w:eastAsia="Calibri"/>
          <w:bCs/>
        </w:rPr>
        <w:t>II этап – 2023</w:t>
      </w:r>
      <w:r w:rsidRPr="00C17A41">
        <w:rPr>
          <w:rFonts w:eastAsia="Calibri"/>
          <w:bCs/>
        </w:rPr>
        <w:t xml:space="preserve"> год;</w:t>
      </w:r>
    </w:p>
    <w:p w:rsidR="00EA67ED" w:rsidRDefault="00EA67ED" w:rsidP="00EA67ED">
      <w:pPr>
        <w:jc w:val="both"/>
        <w:rPr>
          <w:rFonts w:eastAsia="Calibri"/>
          <w:bCs/>
        </w:rPr>
      </w:pPr>
      <w:r w:rsidRPr="00C17A41">
        <w:rPr>
          <w:rFonts w:eastAsia="Calibri"/>
          <w:bCs/>
        </w:rPr>
        <w:t xml:space="preserve">- </w:t>
      </w:r>
      <w:r>
        <w:rPr>
          <w:rFonts w:eastAsia="Calibri"/>
          <w:bCs/>
        </w:rPr>
        <w:t>III этап – 2024</w:t>
      </w:r>
      <w:r w:rsidRPr="00C17A41">
        <w:rPr>
          <w:rFonts w:eastAsia="Calibri"/>
          <w:bCs/>
        </w:rPr>
        <w:t xml:space="preserve"> год.</w:t>
      </w:r>
    </w:p>
    <w:p w:rsidR="00EA67ED" w:rsidRPr="001C6183" w:rsidRDefault="00EA67ED" w:rsidP="00EA67ED">
      <w:pPr>
        <w:jc w:val="both"/>
        <w:rPr>
          <w:rFonts w:eastAsia="Calibri"/>
          <w:bCs/>
        </w:rPr>
      </w:pPr>
      <w:r>
        <w:rPr>
          <w:rFonts w:eastAsia="Calibri"/>
          <w:bCs/>
        </w:rPr>
        <w:t>-</w:t>
      </w:r>
      <w:r w:rsidRPr="00EA67ED">
        <w:rPr>
          <w:rFonts w:eastAsia="Calibri"/>
          <w:bCs/>
        </w:rPr>
        <w:t xml:space="preserve"> </w:t>
      </w:r>
      <w:r>
        <w:rPr>
          <w:rFonts w:eastAsia="Calibri"/>
          <w:bCs/>
          <w:lang w:val="en-US"/>
        </w:rPr>
        <w:t>IV</w:t>
      </w:r>
      <w:r>
        <w:rPr>
          <w:rFonts w:eastAsia="Calibri"/>
          <w:bCs/>
        </w:rPr>
        <w:t xml:space="preserve"> этап – 2025 год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p w:rsidR="00EA67ED" w:rsidRPr="00C17A41" w:rsidRDefault="00EA67ED" w:rsidP="00EA67ED">
      <w:pPr>
        <w:pStyle w:val="a4"/>
        <w:jc w:val="center"/>
        <w:rPr>
          <w:rFonts w:eastAsia="Calibri"/>
        </w:rPr>
      </w:pPr>
      <w:r w:rsidRPr="00C17A41">
        <w:rPr>
          <w:rFonts w:eastAsia="Calibri"/>
          <w:bCs/>
        </w:rPr>
        <w:t>3. РЕСУРСНОЕ ОБЕСПЕЧЕНИЕ ПРОГРАММЫ</w:t>
      </w:r>
    </w:p>
    <w:p w:rsidR="00EA67ED" w:rsidRPr="00C17A41" w:rsidRDefault="00EA67ED" w:rsidP="00EA67ED">
      <w:pPr>
        <w:pStyle w:val="a4"/>
        <w:jc w:val="center"/>
        <w:rPr>
          <w:rFonts w:eastAsia="Calibri"/>
        </w:rPr>
      </w:pPr>
    </w:p>
    <w:p w:rsidR="00EA67ED" w:rsidRPr="00C17A41" w:rsidRDefault="00EA67ED" w:rsidP="00EA67ED">
      <w:pPr>
        <w:ind w:firstLine="709"/>
        <w:rPr>
          <w:rFonts w:eastAsia="Calibri"/>
          <w:bCs/>
        </w:rPr>
      </w:pPr>
      <w:r w:rsidRPr="00C17A41">
        <w:rPr>
          <w:rFonts w:eastAsia="Calibri"/>
          <w:b/>
          <w:bCs/>
        </w:rPr>
        <w:t>Стоимость программы</w:t>
      </w:r>
      <w:r w:rsidRPr="00C17A41">
        <w:rPr>
          <w:rFonts w:eastAsia="Calibri"/>
          <w:bCs/>
        </w:rPr>
        <w:t xml:space="preserve"> – </w:t>
      </w:r>
      <w:r>
        <w:rPr>
          <w:rFonts w:eastAsia="Calibri"/>
          <w:bCs/>
        </w:rPr>
        <w:t>115</w:t>
      </w:r>
      <w:r w:rsidRPr="00C17A41">
        <w:rPr>
          <w:rFonts w:eastAsia="Calibri"/>
          <w:bCs/>
        </w:rPr>
        <w:t>,00 тыс. рублей</w:t>
      </w:r>
    </w:p>
    <w:p w:rsidR="00EA67ED" w:rsidRPr="00C17A41" w:rsidRDefault="00EA67ED" w:rsidP="00EA67ED">
      <w:pPr>
        <w:ind w:firstLine="709"/>
        <w:rPr>
          <w:rFonts w:eastAsia="Calibri"/>
        </w:rPr>
      </w:pPr>
      <w:r w:rsidRPr="00C17A41">
        <w:rPr>
          <w:rFonts w:eastAsia="Calibri"/>
          <w:b/>
        </w:rPr>
        <w:t>Источник финансирования</w:t>
      </w:r>
      <w:r w:rsidRPr="00C17A41">
        <w:rPr>
          <w:rFonts w:eastAsia="Calibri"/>
        </w:rPr>
        <w:t xml:space="preserve"> 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lastRenderedPageBreak/>
        <w:t>– бюджет</w:t>
      </w:r>
      <w:r w:rsidRPr="00C17A41">
        <w:rPr>
          <w:rFonts w:eastAsia="Calibri"/>
          <w:bCs/>
        </w:rPr>
        <w:t xml:space="preserve"> </w:t>
      </w:r>
      <w:proofErr w:type="spellStart"/>
      <w:r w:rsidRPr="00C17A41">
        <w:rPr>
          <w:rFonts w:eastAsia="Calibri"/>
        </w:rPr>
        <w:t>Новоудинского</w:t>
      </w:r>
      <w:proofErr w:type="spellEnd"/>
      <w:r w:rsidRPr="00C17A41">
        <w:rPr>
          <w:rFonts w:eastAsia="Calibri"/>
        </w:rPr>
        <w:t xml:space="preserve"> муниципального образования. Объемы финансирования программы из бюджета поселения подлежат ежегодной корректировке с учетом возможностей бюджета поселения.</w:t>
      </w:r>
    </w:p>
    <w:p w:rsidR="00EA67ED" w:rsidRPr="00C17A41" w:rsidRDefault="00EA67ED" w:rsidP="00EA67ED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В процессе реализации программы детализируются мероприятия с целью сокращения сроков исполнения и затрат по программе и вносятся соответствующие изменения в программу в установленном порядке.</w:t>
      </w:r>
    </w:p>
    <w:p w:rsidR="00EA67ED" w:rsidRPr="00C17A41" w:rsidRDefault="00EA67ED" w:rsidP="00EA67ED">
      <w:pPr>
        <w:ind w:firstLine="709"/>
        <w:jc w:val="both"/>
        <w:rPr>
          <w:rFonts w:eastAsia="Calibri"/>
          <w:b/>
        </w:rPr>
      </w:pPr>
      <w:r w:rsidRPr="00C17A41">
        <w:rPr>
          <w:rFonts w:eastAsia="Calibri"/>
          <w:b/>
        </w:rPr>
        <w:t>Расчет финансовых затрат по годам реализации программных мероприятий тыс. руб.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tbl>
      <w:tblPr>
        <w:tblW w:w="96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3"/>
        <w:gridCol w:w="2415"/>
        <w:gridCol w:w="993"/>
        <w:gridCol w:w="993"/>
        <w:gridCol w:w="993"/>
        <w:gridCol w:w="1001"/>
      </w:tblGrid>
      <w:tr w:rsidR="00EA67ED" w:rsidRPr="00C17A41" w:rsidTr="00161B54">
        <w:trPr>
          <w:tblCellSpacing w:w="0" w:type="dxa"/>
          <w:jc w:val="center"/>
        </w:trPr>
        <w:tc>
          <w:tcPr>
            <w:tcW w:w="16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both"/>
              <w:rPr>
                <w:rFonts w:eastAsia="Calibri"/>
              </w:rPr>
            </w:pPr>
            <w:r w:rsidRPr="00C17A41">
              <w:rPr>
                <w:rFonts w:eastAsia="Calibri"/>
              </w:rPr>
              <w:t>Источники</w:t>
            </w:r>
          </w:p>
          <w:p w:rsidR="00EA67ED" w:rsidRPr="00C17A41" w:rsidRDefault="00EA67ED" w:rsidP="00161B54">
            <w:pPr>
              <w:jc w:val="both"/>
              <w:rPr>
                <w:rFonts w:eastAsia="Calibri"/>
              </w:rPr>
            </w:pPr>
            <w:r w:rsidRPr="00C17A41">
              <w:rPr>
                <w:rFonts w:eastAsia="Calibri"/>
              </w:rPr>
              <w:t>финансирования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Объем финансовых затрат, всего</w:t>
            </w:r>
          </w:p>
        </w:tc>
        <w:tc>
          <w:tcPr>
            <w:tcW w:w="20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В том числе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16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both"/>
              <w:rPr>
                <w:rFonts w:eastAsia="Calibri"/>
              </w:rPr>
            </w:pPr>
          </w:p>
        </w:tc>
        <w:tc>
          <w:tcPr>
            <w:tcW w:w="12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C17A41">
              <w:rPr>
                <w:rFonts w:eastAsia="Calibri"/>
              </w:rPr>
              <w:t>год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C17A41">
              <w:rPr>
                <w:rFonts w:eastAsia="Calibri"/>
              </w:rPr>
              <w:t xml:space="preserve"> год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C17A41">
              <w:rPr>
                <w:rFonts w:eastAsia="Calibri"/>
              </w:rPr>
              <w:t xml:space="preserve"> год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Pr="00C17A41">
              <w:rPr>
                <w:rFonts w:eastAsia="Calibri"/>
              </w:rPr>
              <w:t xml:space="preserve"> год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1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both"/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Бюджет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  <w:r w:rsidRPr="00C17A41">
              <w:rPr>
                <w:rFonts w:eastAsia="Calibri"/>
              </w:rPr>
              <w:t>,00тыс. руб.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25. </w:t>
            </w:r>
            <w:r w:rsidRPr="00C17A41">
              <w:rPr>
                <w:rFonts w:eastAsia="Calibri"/>
              </w:rPr>
              <w:t>00т.р.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17A41">
              <w:rPr>
                <w:rFonts w:eastAsia="Calibri"/>
              </w:rPr>
              <w:t>0,00т.р.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17A41">
              <w:rPr>
                <w:rFonts w:eastAsia="Calibri"/>
              </w:rPr>
              <w:t>0,00т.р.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17A41">
              <w:rPr>
                <w:rFonts w:eastAsia="Calibri"/>
              </w:rPr>
              <w:t>0,00т.р.</w:t>
            </w:r>
          </w:p>
        </w:tc>
      </w:tr>
    </w:tbl>
    <w:p w:rsidR="00EA67ED" w:rsidRPr="00C17A41" w:rsidRDefault="00EA67ED" w:rsidP="00EA67ED">
      <w:pPr>
        <w:jc w:val="center"/>
        <w:rPr>
          <w:rFonts w:eastAsia="Calibri"/>
          <w:bCs/>
        </w:rPr>
      </w:pPr>
    </w:p>
    <w:p w:rsidR="00EA67ED" w:rsidRPr="00C17A41" w:rsidRDefault="00EA67ED" w:rsidP="00EA67ED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 xml:space="preserve">4. ОРГАНИЗАЦИЯ УПРАВЛЕНИЯ ПРОГРАММОЙ И </w:t>
      </w:r>
      <w:proofErr w:type="gramStart"/>
      <w:r w:rsidRPr="00C17A41">
        <w:rPr>
          <w:rFonts w:eastAsia="Calibri"/>
          <w:bCs/>
        </w:rPr>
        <w:t>КОНТРОЛЬ ЗА</w:t>
      </w:r>
      <w:proofErr w:type="gramEnd"/>
      <w:r w:rsidRPr="00C17A41">
        <w:rPr>
          <w:rFonts w:eastAsia="Calibri"/>
          <w:bCs/>
        </w:rPr>
        <w:t xml:space="preserve"> ХОДОМ ЕЁ РЕАЛИЗАЦИИ.</w:t>
      </w:r>
    </w:p>
    <w:p w:rsidR="00EA67ED" w:rsidRPr="00C17A41" w:rsidRDefault="00EA67ED" w:rsidP="00EA67ED">
      <w:pPr>
        <w:jc w:val="center"/>
        <w:rPr>
          <w:rFonts w:eastAsia="Calibri"/>
          <w:bCs/>
        </w:rPr>
      </w:pPr>
    </w:p>
    <w:p w:rsidR="00EA67ED" w:rsidRPr="00C17A41" w:rsidRDefault="00EA67ED" w:rsidP="00EA67ED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 xml:space="preserve">Система управления Программой включает организацию управления ею, реализацию намеченных мероприятий и </w:t>
      </w:r>
      <w:proofErr w:type="gramStart"/>
      <w:r w:rsidRPr="00C17A41">
        <w:rPr>
          <w:rFonts w:eastAsia="Calibri"/>
        </w:rPr>
        <w:t>контроль за</w:t>
      </w:r>
      <w:proofErr w:type="gramEnd"/>
      <w:r w:rsidRPr="00C17A41">
        <w:rPr>
          <w:rFonts w:eastAsia="Calibri"/>
        </w:rPr>
        <w:t xml:space="preserve"> ходом ее реализации.</w:t>
      </w:r>
    </w:p>
    <w:p w:rsidR="00EA67ED" w:rsidRPr="00C17A41" w:rsidRDefault="00EA67ED" w:rsidP="00EA67ED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 xml:space="preserve">Управление реализацией Программы осуществляет администрация  </w:t>
      </w:r>
      <w:proofErr w:type="spellStart"/>
      <w:r w:rsidRPr="00C17A41">
        <w:rPr>
          <w:rFonts w:eastAsia="Calibri"/>
        </w:rPr>
        <w:t>Новоудинского</w:t>
      </w:r>
      <w:proofErr w:type="spellEnd"/>
      <w:r w:rsidRPr="00C17A41">
        <w:rPr>
          <w:rFonts w:eastAsia="Calibri"/>
        </w:rPr>
        <w:t xml:space="preserve">  муниципального образования в соответствии с регламентом.</w:t>
      </w:r>
    </w:p>
    <w:p w:rsidR="00EA67ED" w:rsidRPr="00C17A41" w:rsidRDefault="00EA67ED" w:rsidP="00EA67ED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Разработчик Программы: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формирует нормативную базу;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 xml:space="preserve">- в случае необходимости заключает договоры (соглашения) о </w:t>
      </w:r>
      <w:proofErr w:type="spellStart"/>
      <w:r w:rsidRPr="00C17A41">
        <w:rPr>
          <w:rFonts w:eastAsia="Calibri"/>
        </w:rPr>
        <w:t>софинансировании</w:t>
      </w:r>
      <w:proofErr w:type="spellEnd"/>
      <w:r w:rsidRPr="00C17A41">
        <w:rPr>
          <w:rFonts w:eastAsia="Calibri"/>
        </w:rPr>
        <w:t xml:space="preserve"> мероприятий Программы из вышестоящих бюджетов.</w:t>
      </w:r>
    </w:p>
    <w:p w:rsidR="00EA67ED" w:rsidRPr="00C17A41" w:rsidRDefault="00EA67ED" w:rsidP="00EA67ED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 xml:space="preserve">Контроль за своевременным и полным проведением мероприятий Программы осуществляет администрация  </w:t>
      </w:r>
      <w:proofErr w:type="spellStart"/>
      <w:r w:rsidRPr="00C17A41">
        <w:rPr>
          <w:rFonts w:eastAsia="Calibri"/>
        </w:rPr>
        <w:t>Новоудинского</w:t>
      </w:r>
      <w:proofErr w:type="spellEnd"/>
      <w:r w:rsidRPr="00C17A41">
        <w:rPr>
          <w:rFonts w:eastAsia="Calibri"/>
        </w:rPr>
        <w:t xml:space="preserve"> муниципального образования.</w:t>
      </w:r>
    </w:p>
    <w:p w:rsidR="00EA67ED" w:rsidRPr="00C17A41" w:rsidRDefault="00EA67ED" w:rsidP="00EA67ED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 xml:space="preserve">Финансовый </w:t>
      </w:r>
      <w:proofErr w:type="gramStart"/>
      <w:r w:rsidRPr="00C17A41">
        <w:rPr>
          <w:rFonts w:eastAsia="Calibri"/>
        </w:rPr>
        <w:t>контроль за</w:t>
      </w:r>
      <w:proofErr w:type="gramEnd"/>
      <w:r w:rsidRPr="00C17A41">
        <w:rPr>
          <w:rFonts w:eastAsia="Calibri"/>
        </w:rPr>
        <w:t xml:space="preserve"> ходом реализации программы осуществляет администрация  </w:t>
      </w:r>
      <w:proofErr w:type="spellStart"/>
      <w:r w:rsidRPr="00C17A41">
        <w:rPr>
          <w:rFonts w:eastAsia="Calibri"/>
        </w:rPr>
        <w:t>Новоудинского</w:t>
      </w:r>
      <w:proofErr w:type="spellEnd"/>
      <w:r w:rsidRPr="00C17A41">
        <w:rPr>
          <w:rFonts w:eastAsia="Calibri"/>
        </w:rPr>
        <w:t xml:space="preserve"> муниципального образования.</w:t>
      </w:r>
    </w:p>
    <w:p w:rsidR="00EA67ED" w:rsidRPr="00C17A41" w:rsidRDefault="00EA67ED" w:rsidP="00EA67ED">
      <w:pPr>
        <w:tabs>
          <w:tab w:val="left" w:pos="4253"/>
          <w:tab w:val="left" w:pos="4820"/>
        </w:tabs>
        <w:ind w:firstLine="708"/>
        <w:jc w:val="center"/>
        <w:rPr>
          <w:rFonts w:eastAsia="Calibri"/>
        </w:rPr>
      </w:pPr>
    </w:p>
    <w:p w:rsidR="00EA67ED" w:rsidRPr="00C17A41" w:rsidRDefault="00EA67ED" w:rsidP="00EA67ED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5. ОЦЕНКА ЭФФЕКТИВНОСТИ РЕАЛИЗАЦИИ ПРОГРАММЫ.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p w:rsidR="00EA67ED" w:rsidRPr="00C17A41" w:rsidRDefault="00EA67ED" w:rsidP="00EA67ED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 xml:space="preserve">Утверждение и внедрение мероприятий Программы создаст условия для обеспечения безопасности жителей поселения, сохранения имущества и материальных средств от пожаров, </w:t>
      </w:r>
      <w:r w:rsidRPr="00C17A41">
        <w:rPr>
          <w:rFonts w:eastAsia="Calibri"/>
        </w:rPr>
        <w:lastRenderedPageBreak/>
        <w:t>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EA67ED" w:rsidRPr="00C17A41" w:rsidRDefault="00EA67ED" w:rsidP="00EA67ED">
      <w:pPr>
        <w:ind w:firstLine="708"/>
        <w:jc w:val="both"/>
        <w:rPr>
          <w:rFonts w:eastAsia="Calibri"/>
        </w:rPr>
      </w:pPr>
      <w:r w:rsidRPr="00C17A41">
        <w:rPr>
          <w:rFonts w:eastAsia="Calibri"/>
        </w:rPr>
        <w:t>Реализация Программы и ее финансирование в полном объеме позволят: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 xml:space="preserve">- </w:t>
      </w:r>
      <w:proofErr w:type="gramStart"/>
      <w:r w:rsidRPr="00C17A41">
        <w:rPr>
          <w:rFonts w:eastAsia="Calibri"/>
        </w:rPr>
        <w:t>снизить число пострадавших</w:t>
      </w:r>
      <w:proofErr w:type="gramEnd"/>
      <w:r w:rsidRPr="00C17A41">
        <w:rPr>
          <w:rFonts w:eastAsia="Calibri"/>
        </w:rPr>
        <w:t xml:space="preserve"> (погибших) людей и наносимый огнем материальный ущерб;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достигнуть необходимого уровня противопожарной безопасности при минимизации бюджетных затрат;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создать эффективную систему противодействия угрозам пожарной опасности;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укрепить материально-техническую базу для оптимального функционирования противопожарной системы;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уменьшить риск пожаров в жилом секторе, в муниципальных учреждениях и организациях, расположенных на территории муниципального образования;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уменьшить риск возникновения чрезвычайных ситуаций природного и техногенного характера (лесных пожаров);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EA67ED" w:rsidRPr="00C17A41" w:rsidRDefault="00EA67ED" w:rsidP="00EA67ED">
      <w:pPr>
        <w:jc w:val="both"/>
        <w:rPr>
          <w:rFonts w:eastAsia="Calibri"/>
        </w:rPr>
      </w:pPr>
      <w:r w:rsidRPr="00C17A41">
        <w:rPr>
          <w:rFonts w:eastAsia="Calibri"/>
        </w:rPr>
        <w:t>- 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p w:rsidR="00EA67ED" w:rsidRPr="00C17A41" w:rsidRDefault="00EA67ED" w:rsidP="00EA67ED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t>ПОДПРОГРАММА</w:t>
      </w:r>
    </w:p>
    <w:p w:rsidR="00EA67ED" w:rsidRPr="00C17A41" w:rsidRDefault="00EA67ED" w:rsidP="00EA67ED">
      <w:pPr>
        <w:jc w:val="center"/>
        <w:rPr>
          <w:rFonts w:eastAsia="Calibri"/>
          <w:b/>
        </w:rPr>
      </w:pPr>
    </w:p>
    <w:p w:rsidR="00EA67ED" w:rsidRPr="00C17A41" w:rsidRDefault="00EA67ED" w:rsidP="00EA67ED">
      <w:pPr>
        <w:jc w:val="center"/>
        <w:rPr>
          <w:rFonts w:eastAsia="Calibri"/>
        </w:rPr>
      </w:pPr>
      <w:proofErr w:type="gramStart"/>
      <w:r w:rsidRPr="00C17A41">
        <w:rPr>
          <w:rFonts w:eastAsia="Calibri"/>
          <w:bCs/>
        </w:rPr>
        <w:t>ПРОТИВОПОЖАРНАЯ</w:t>
      </w:r>
      <w:proofErr w:type="gramEnd"/>
      <w:r w:rsidRPr="00C17A41">
        <w:rPr>
          <w:rFonts w:eastAsia="Calibri"/>
          <w:bCs/>
        </w:rPr>
        <w:t xml:space="preserve"> ПРОПОГАНДА И ОБУЧЕНИЕ В ОБЛАСТИ ПОЖАРНОЙ БЕЗОПАСНОСТИ (ИНФОРМАЦИОННОЕ ОБЕСПЕЧЕНИЕ)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p w:rsidR="00EA67ED" w:rsidRPr="00C17A41" w:rsidRDefault="00EA67ED" w:rsidP="00EA67ED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Данное направление ориентировано на усиление противопожарной пропаганды и профилактики в области пожарной безопасности, в первую очередь, в жилом секторе. Кроме того, мероприятия данного направления позволят повысить уровень информированности по вопросам пожарной безопасности.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tbl>
      <w:tblPr>
        <w:tblW w:w="9671" w:type="dxa"/>
        <w:jc w:val="center"/>
        <w:tblCellSpacing w:w="0" w:type="dxa"/>
        <w:tblInd w:w="-2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2"/>
        <w:gridCol w:w="1701"/>
        <w:gridCol w:w="1276"/>
        <w:gridCol w:w="2992"/>
      </w:tblGrid>
      <w:tr w:rsidR="00EA67ED" w:rsidRPr="00C17A41" w:rsidTr="00161B54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Сумма, тыс. руб.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Исполнитель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Информационное обеспечение жителей 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 в области гражданской обороны, защиты от чрезвычайных ситуаций и </w:t>
            </w:r>
            <w:r w:rsidRPr="00C17A41">
              <w:rPr>
                <w:rFonts w:eastAsia="Calibri"/>
              </w:rPr>
              <w:lastRenderedPageBreak/>
              <w:t xml:space="preserve">обеспечению пожарной безопасности в средствах массовой информации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2022</w:t>
            </w:r>
            <w:r w:rsidRPr="00C17A41">
              <w:rPr>
                <w:rFonts w:eastAsia="Calibri"/>
              </w:rPr>
              <w:t>-202</w:t>
            </w: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1000,0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Администрация 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lastRenderedPageBreak/>
              <w:t xml:space="preserve">Размещение на сайте администрации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 в сети Интернет информационных и методических материалов по вопросам обеспечения пожарной безопасности на территории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муниципального образования.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Pr="00C17A41">
              <w:rPr>
                <w:rFonts w:eastAsia="Calibri"/>
              </w:rPr>
              <w:t>-202</w:t>
            </w: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rPr>
                <w:rFonts w:eastAsia="Calibri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Администрации 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Приобретение и </w:t>
            </w:r>
            <w:proofErr w:type="gramStart"/>
            <w:r>
              <w:rPr>
                <w:rFonts w:eastAsia="Calibri"/>
              </w:rPr>
              <w:t>установка</w:t>
            </w:r>
            <w:proofErr w:type="gramEnd"/>
            <w:r>
              <w:rPr>
                <w:rFonts w:eastAsia="Calibri"/>
              </w:rPr>
              <w:t xml:space="preserve"> дымовые пожарные </w:t>
            </w:r>
            <w:proofErr w:type="spellStart"/>
            <w:r>
              <w:rPr>
                <w:rFonts w:eastAsia="Calibri"/>
              </w:rPr>
              <w:t>оповещатели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2022-2025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6000.0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Администрации 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</w:t>
            </w:r>
          </w:p>
        </w:tc>
      </w:tr>
    </w:tbl>
    <w:p w:rsidR="00EA67ED" w:rsidRPr="00C17A41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EA67ED" w:rsidRDefault="00EA67ED" w:rsidP="00EA67ED">
      <w:pPr>
        <w:jc w:val="center"/>
        <w:rPr>
          <w:rFonts w:eastAsia="Calibri"/>
          <w:bCs/>
        </w:rPr>
      </w:pPr>
    </w:p>
    <w:p w:rsidR="004B090E" w:rsidRDefault="004B090E" w:rsidP="00EA67ED">
      <w:pPr>
        <w:jc w:val="center"/>
        <w:rPr>
          <w:rFonts w:eastAsia="Calibri"/>
          <w:bCs/>
        </w:rPr>
      </w:pPr>
    </w:p>
    <w:p w:rsidR="004B090E" w:rsidRDefault="004B090E" w:rsidP="00EA67ED">
      <w:pPr>
        <w:jc w:val="center"/>
        <w:rPr>
          <w:rFonts w:eastAsia="Calibri"/>
          <w:bCs/>
        </w:rPr>
      </w:pPr>
    </w:p>
    <w:p w:rsidR="004B090E" w:rsidRDefault="004B090E" w:rsidP="00EA67ED">
      <w:pPr>
        <w:jc w:val="center"/>
        <w:rPr>
          <w:rFonts w:eastAsia="Calibri"/>
          <w:bCs/>
        </w:rPr>
      </w:pPr>
    </w:p>
    <w:p w:rsidR="004B090E" w:rsidRDefault="004B090E" w:rsidP="00EA67ED">
      <w:pPr>
        <w:jc w:val="center"/>
        <w:rPr>
          <w:rFonts w:eastAsia="Calibri"/>
          <w:bCs/>
        </w:rPr>
      </w:pPr>
    </w:p>
    <w:p w:rsidR="004B090E" w:rsidRDefault="004B090E" w:rsidP="00EA67ED">
      <w:pPr>
        <w:jc w:val="center"/>
        <w:rPr>
          <w:rFonts w:eastAsia="Calibri"/>
          <w:bCs/>
        </w:rPr>
      </w:pPr>
    </w:p>
    <w:p w:rsidR="004B090E" w:rsidRDefault="004B090E" w:rsidP="00EA67ED">
      <w:pPr>
        <w:jc w:val="center"/>
        <w:rPr>
          <w:rFonts w:eastAsia="Calibri"/>
          <w:bCs/>
        </w:rPr>
      </w:pPr>
    </w:p>
    <w:p w:rsidR="00EA67ED" w:rsidRPr="00C17A41" w:rsidRDefault="00EA67ED" w:rsidP="00EA67ED">
      <w:pPr>
        <w:jc w:val="center"/>
        <w:rPr>
          <w:rFonts w:eastAsia="Calibri"/>
          <w:bCs/>
        </w:rPr>
      </w:pPr>
      <w:r w:rsidRPr="00C17A41">
        <w:rPr>
          <w:rFonts w:eastAsia="Calibri"/>
          <w:bCs/>
        </w:rPr>
        <w:lastRenderedPageBreak/>
        <w:t>ПОДПРОГРАММА</w:t>
      </w:r>
    </w:p>
    <w:p w:rsidR="00EA67ED" w:rsidRPr="00C17A41" w:rsidRDefault="00EA67ED" w:rsidP="00EA67ED">
      <w:pPr>
        <w:jc w:val="center"/>
        <w:rPr>
          <w:rFonts w:eastAsia="Calibri"/>
          <w:b/>
          <w:bCs/>
        </w:rPr>
      </w:pPr>
    </w:p>
    <w:p w:rsidR="00EA67ED" w:rsidRPr="00C17A41" w:rsidRDefault="00EA67ED" w:rsidP="00EA67ED">
      <w:pPr>
        <w:jc w:val="center"/>
        <w:rPr>
          <w:rFonts w:eastAsia="Calibri"/>
        </w:rPr>
      </w:pPr>
      <w:r w:rsidRPr="00C17A41">
        <w:rPr>
          <w:rFonts w:eastAsia="Calibri"/>
          <w:bCs/>
        </w:rPr>
        <w:t>ОБЕСПЕЧЕНИЕ ПРОТИВОПОЖАРНОЙ ЗАЩИТЫ ЖИЛИЩНОГО ФОНДА, УЧРЕЖДЕНИЙ СОЦИАЛЬНОЙ СФЕРЫ И НАСЕЛЕННЫХ ПУНКТОВ ОТ УГРОЗЫ ВОЗНИКНОВЕНИЯ ЧРЕЗВЫЧАЙНЫХ СИТУАЦИЙ ПРИРОДНОГО И ТЕХНОГЕННОГО ХАРАКТЕРА (ЛЕСНЫХ ПОЖАРОВ)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p w:rsidR="00EA67ED" w:rsidRPr="00C17A41" w:rsidRDefault="00EA67ED" w:rsidP="00EA67ED">
      <w:pPr>
        <w:ind w:firstLine="709"/>
        <w:jc w:val="both"/>
        <w:rPr>
          <w:rFonts w:eastAsia="Calibri"/>
        </w:rPr>
      </w:pPr>
      <w:r w:rsidRPr="00C17A41">
        <w:rPr>
          <w:rFonts w:eastAsia="Calibri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</w:t>
      </w:r>
    </w:p>
    <w:p w:rsidR="00EA67ED" w:rsidRPr="00C17A41" w:rsidRDefault="00EA67ED" w:rsidP="00EA67ED">
      <w:pPr>
        <w:jc w:val="center"/>
        <w:rPr>
          <w:rFonts w:eastAsia="Calibri"/>
        </w:rPr>
      </w:pP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2967"/>
        <w:gridCol w:w="2416"/>
        <w:gridCol w:w="914"/>
        <w:gridCol w:w="735"/>
        <w:gridCol w:w="785"/>
        <w:gridCol w:w="675"/>
        <w:gridCol w:w="595"/>
      </w:tblGrid>
      <w:tr w:rsidR="00EA67ED" w:rsidRPr="00C17A41" w:rsidTr="00161B54">
        <w:trPr>
          <w:trHeight w:val="641"/>
          <w:tblCellSpacing w:w="0" w:type="dxa"/>
          <w:jc w:val="center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№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Наименование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мероприятий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Источники</w:t>
            </w:r>
          </w:p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финансирования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  <w:bCs/>
              </w:rPr>
              <w:t>Всего</w:t>
            </w:r>
          </w:p>
          <w:p w:rsidR="00EA67ED" w:rsidRPr="00C17A41" w:rsidRDefault="00EA67ED" w:rsidP="00161B54">
            <w:pPr>
              <w:jc w:val="center"/>
              <w:rPr>
                <w:rFonts w:eastAsia="Calibri"/>
                <w:bCs/>
              </w:rPr>
            </w:pPr>
            <w:r w:rsidRPr="00C17A41">
              <w:rPr>
                <w:rFonts w:eastAsia="Calibri"/>
                <w:bCs/>
              </w:rPr>
              <w:t>(тыс. руб.)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Default="00EA67ED" w:rsidP="00161B54">
            <w:pPr>
              <w:jc w:val="center"/>
              <w:rPr>
                <w:rFonts w:eastAsia="Calibri"/>
              </w:rPr>
            </w:pPr>
          </w:p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jc w:val="center"/>
              <w:rPr>
                <w:rFonts w:eastAsia="Calibri"/>
              </w:rPr>
            </w:pPr>
            <w:r w:rsidRPr="00C17A41">
              <w:rPr>
                <w:rFonts w:eastAsia="Calibri"/>
              </w:rPr>
              <w:t>1.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Обустройство 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минерализованных полос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 xml:space="preserve">Бюджет </w:t>
            </w:r>
            <w:proofErr w:type="spellStart"/>
            <w:r w:rsidRPr="00C17A41">
              <w:rPr>
                <w:rFonts w:eastAsia="Calibri"/>
              </w:rPr>
              <w:t>Новоудинского</w:t>
            </w:r>
            <w:proofErr w:type="spellEnd"/>
            <w:r w:rsidRPr="00C17A41">
              <w:rPr>
                <w:rFonts w:eastAsia="Calibri"/>
              </w:rPr>
              <w:t xml:space="preserve"> муниципального образования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C17A41">
              <w:rPr>
                <w:rFonts w:eastAsia="Calibri"/>
              </w:rPr>
              <w:t>,0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10,0</w:t>
            </w:r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10,0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.р</w:t>
            </w:r>
            <w:proofErr w:type="spellEnd"/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7ED" w:rsidRDefault="00EA67ED" w:rsidP="00161B54">
            <w:pPr>
              <w:rPr>
                <w:rFonts w:eastAsia="Calibri"/>
              </w:rPr>
            </w:pPr>
          </w:p>
          <w:p w:rsidR="00EA67ED" w:rsidRPr="00C17A41" w:rsidRDefault="00EA67ED" w:rsidP="00161B54">
            <w:pPr>
              <w:rPr>
                <w:rFonts w:eastAsia="Calibri"/>
              </w:rPr>
            </w:pPr>
            <w:r w:rsidRPr="00C17A41">
              <w:rPr>
                <w:rFonts w:eastAsia="Calibri"/>
              </w:rPr>
              <w:t>10,0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.р</w:t>
            </w:r>
            <w:proofErr w:type="spellEnd"/>
            <w:proofErr w:type="gramEnd"/>
          </w:p>
          <w:p w:rsidR="00EA67ED" w:rsidRPr="00C17A41" w:rsidRDefault="00EA67ED" w:rsidP="00161B54">
            <w:pPr>
              <w:rPr>
                <w:rFonts w:eastAsia="Calibri"/>
              </w:rPr>
            </w:pP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Default="00EA67ED" w:rsidP="00161B54">
            <w:pPr>
              <w:rPr>
                <w:rFonts w:eastAsia="Calibri"/>
              </w:rPr>
            </w:pPr>
          </w:p>
          <w:p w:rsidR="00EA67ED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10.0 т.р.</w:t>
            </w:r>
          </w:p>
        </w:tc>
      </w:tr>
      <w:tr w:rsidR="00EA67ED" w:rsidRPr="00C17A41" w:rsidTr="00161B54">
        <w:trPr>
          <w:tblCellSpacing w:w="0" w:type="dxa"/>
          <w:jc w:val="center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rPr>
                <w:rFonts w:eastAsia="Calibri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contextualSpacing/>
              <w:jc w:val="both"/>
            </w:pPr>
            <w:r w:rsidRPr="00C17A41">
              <w:t>Итого: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rPr>
                <w:rFonts w:eastAsia="Calibri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C17A41">
              <w:rPr>
                <w:rFonts w:eastAsia="Calibri"/>
              </w:rPr>
              <w:t>,00 т.р.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C17A41">
              <w:rPr>
                <w:rFonts w:eastAsia="Calibri"/>
              </w:rPr>
              <w:t>.0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.р</w:t>
            </w:r>
            <w:proofErr w:type="spellEnd"/>
            <w:proofErr w:type="gramEnd"/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C17A41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.0 </w:t>
            </w:r>
            <w:proofErr w:type="spellStart"/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.р</w:t>
            </w:r>
            <w:proofErr w:type="spellEnd"/>
            <w:proofErr w:type="gramEnd"/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1</w:t>
            </w:r>
            <w:r w:rsidRPr="00C17A41">
              <w:rPr>
                <w:rFonts w:eastAsia="Calibri"/>
              </w:rPr>
              <w:t>0.0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.р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67ED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10.0</w:t>
            </w:r>
          </w:p>
          <w:p w:rsidR="00EA67ED" w:rsidRPr="00C17A41" w:rsidRDefault="00EA67ED" w:rsidP="00161B54">
            <w:pPr>
              <w:rPr>
                <w:rFonts w:eastAsia="Calibri"/>
              </w:rPr>
            </w:pPr>
            <w:r>
              <w:rPr>
                <w:rFonts w:eastAsia="Calibri"/>
              </w:rPr>
              <w:t>т.р.</w:t>
            </w:r>
          </w:p>
        </w:tc>
      </w:tr>
    </w:tbl>
    <w:p w:rsidR="00EA67ED" w:rsidRPr="00C17A41" w:rsidRDefault="00EA67ED" w:rsidP="00EA67ED"/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01D"/>
    <w:multiLevelType w:val="hybridMultilevel"/>
    <w:tmpl w:val="7142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9D"/>
    <w:rsid w:val="00106B96"/>
    <w:rsid w:val="00187B76"/>
    <w:rsid w:val="001C129D"/>
    <w:rsid w:val="00293554"/>
    <w:rsid w:val="002A3598"/>
    <w:rsid w:val="0041446E"/>
    <w:rsid w:val="004B090E"/>
    <w:rsid w:val="00644B95"/>
    <w:rsid w:val="00C617ED"/>
    <w:rsid w:val="00DF6655"/>
    <w:rsid w:val="00EA67ED"/>
    <w:rsid w:val="00EF4CCD"/>
    <w:rsid w:val="00F4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7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0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2022-02-03T03:36:00Z</dcterms:created>
  <dcterms:modified xsi:type="dcterms:W3CDTF">2022-03-01T01:00:00Z</dcterms:modified>
</cp:coreProperties>
</file>